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3" w:rsidRDefault="00D336FD" w:rsidP="00444C98">
      <w:pPr>
        <w:pStyle w:val="Titel"/>
      </w:pPr>
      <w:bookmarkStart w:id="0" w:name="_Toc507516404"/>
      <w:bookmarkStart w:id="1" w:name="_GoBack"/>
      <w:bookmarkEnd w:id="1"/>
      <w:r>
        <w:t>KFOQSDB 1.</w:t>
      </w:r>
      <w:r w:rsidR="00E66FCB">
        <w:t>3</w:t>
      </w:r>
      <w:r w:rsidR="00CD4861">
        <w:t>.1</w:t>
      </w:r>
      <w:r>
        <w:t>.0</w:t>
      </w:r>
      <w:bookmarkEnd w:id="0"/>
    </w:p>
    <w:p w:rsidR="006D7F22" w:rsidRDefault="006D7F22" w:rsidP="006D7F22">
      <w:pPr>
        <w:pStyle w:val="Trennstrich"/>
      </w:pPr>
    </w:p>
    <w:p w:rsidR="006D7F22" w:rsidRPr="006D7F22" w:rsidRDefault="006D7F22" w:rsidP="006D7F22">
      <w:pPr>
        <w:jc w:val="right"/>
      </w:pPr>
    </w:p>
    <w:p w:rsidR="00A41623" w:rsidRDefault="00885633">
      <w:pPr>
        <w:pStyle w:val="berschrift1"/>
      </w:pPr>
      <w:r w:rsidRPr="00BB1566">
        <w:t xml:space="preserve">Fachliche </w:t>
      </w:r>
      <w:proofErr w:type="spellStart"/>
      <w:r w:rsidRPr="00BB1566">
        <w:t>Releasenotes</w:t>
      </w:r>
      <w:proofErr w:type="spellEnd"/>
    </w:p>
    <w:p w:rsidR="00A41623" w:rsidRDefault="00301A27">
      <w:pPr>
        <w:pStyle w:val="Edition"/>
      </w:pPr>
      <w:r>
        <w:t>Dokument-Edition 1.0</w:t>
      </w:r>
    </w:p>
    <w:p w:rsidR="00A41623" w:rsidRDefault="00A41623">
      <w:pPr>
        <w:pStyle w:val="Ausgabe"/>
      </w:pPr>
      <w:r>
        <w:t xml:space="preserve">Ausgabe vom </w:t>
      </w:r>
      <w:r w:rsidR="00CD4861">
        <w:t>27</w:t>
      </w:r>
      <w:r w:rsidR="00D336FD">
        <w:t>.0</w:t>
      </w:r>
      <w:r w:rsidR="00CD4861">
        <w:t>2</w:t>
      </w:r>
      <w:r w:rsidR="00E66FCB">
        <w:t>.2018</w:t>
      </w:r>
    </w:p>
    <w:p w:rsidR="00A41623" w:rsidRDefault="00A41623"/>
    <w:p w:rsidR="00A41623" w:rsidRDefault="00A41623">
      <w:pPr>
        <w:sectPr w:rsidR="00A41623">
          <w:headerReference w:type="default" r:id="rId12"/>
          <w:footerReference w:type="even" r:id="rId13"/>
          <w:pgSz w:w="11906" w:h="16838"/>
          <w:pgMar w:top="5103" w:right="851" w:bottom="1134" w:left="1418" w:header="567" w:footer="567" w:gutter="0"/>
          <w:cols w:space="720"/>
        </w:sectPr>
      </w:pPr>
    </w:p>
    <w:p w:rsidR="00A41623" w:rsidRDefault="00A41623">
      <w:pPr>
        <w:pStyle w:val="berschriftV"/>
      </w:pPr>
      <w:bookmarkStart w:id="2" w:name="_Toc131825622"/>
      <w:bookmarkStart w:id="3" w:name="_Toc51145090"/>
      <w:r>
        <w:lastRenderedPageBreak/>
        <w:t>Historie</w:t>
      </w:r>
      <w:bookmarkEnd w:id="2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032"/>
        <w:gridCol w:w="2629"/>
      </w:tblGrid>
      <w:tr w:rsidR="00A41623" w:rsidTr="00381098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032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41623" w:rsidTr="00381098">
        <w:tc>
          <w:tcPr>
            <w:tcW w:w="1418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</w:pPr>
            <w:r>
              <w:t>04.01.2017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4032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</w:pPr>
            <w:r>
              <w:t>Version 1.0.0.0</w:t>
            </w: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A41623" w:rsidRDefault="00381098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A41623" w:rsidTr="00381098">
        <w:tc>
          <w:tcPr>
            <w:tcW w:w="1418" w:type="dxa"/>
          </w:tcPr>
          <w:p w:rsidR="00A41623" w:rsidRDefault="00564171">
            <w:pPr>
              <w:pStyle w:val="Tabelle"/>
              <w:keepNext/>
            </w:pPr>
            <w:r>
              <w:t>31.01.2017</w:t>
            </w:r>
          </w:p>
        </w:tc>
        <w:tc>
          <w:tcPr>
            <w:tcW w:w="992" w:type="dxa"/>
          </w:tcPr>
          <w:p w:rsidR="00A41623" w:rsidRDefault="00A41623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A41623" w:rsidRDefault="00564171">
            <w:pPr>
              <w:pStyle w:val="Tabelle"/>
              <w:keepNext/>
            </w:pPr>
            <w:r>
              <w:t>Version 1.1.0.0</w:t>
            </w:r>
          </w:p>
        </w:tc>
        <w:tc>
          <w:tcPr>
            <w:tcW w:w="2629" w:type="dxa"/>
          </w:tcPr>
          <w:p w:rsidR="00A41623" w:rsidRDefault="00564171">
            <w:pPr>
              <w:pStyle w:val="Tabelle"/>
              <w:keepNext/>
              <w:jc w:val="right"/>
            </w:pPr>
            <w:r>
              <w:t>DI Manuel Ratzinger</w:t>
            </w:r>
          </w:p>
        </w:tc>
      </w:tr>
      <w:tr w:rsidR="008726F2" w:rsidTr="00381098">
        <w:tc>
          <w:tcPr>
            <w:tcW w:w="1418" w:type="dxa"/>
          </w:tcPr>
          <w:p w:rsidR="008726F2" w:rsidRDefault="008726F2" w:rsidP="008726F2">
            <w:pPr>
              <w:pStyle w:val="Tabelle"/>
              <w:keepNext/>
            </w:pPr>
            <w:r>
              <w:t>31.05.2017</w:t>
            </w: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8726F2" w:rsidRDefault="008726F2" w:rsidP="008726F2">
            <w:pPr>
              <w:pStyle w:val="Tabelle"/>
              <w:keepNext/>
            </w:pPr>
            <w:r>
              <w:t>Version 1.1.1.0</w:t>
            </w:r>
          </w:p>
        </w:tc>
        <w:tc>
          <w:tcPr>
            <w:tcW w:w="2629" w:type="dxa"/>
          </w:tcPr>
          <w:p w:rsidR="008726F2" w:rsidRDefault="008726F2" w:rsidP="008726F2">
            <w:pPr>
              <w:pStyle w:val="Tabelle"/>
              <w:keepNext/>
              <w:jc w:val="right"/>
            </w:pPr>
            <w:r>
              <w:t>Bernhard Hörmann</w:t>
            </w:r>
          </w:p>
        </w:tc>
      </w:tr>
      <w:tr w:rsidR="008726F2" w:rsidTr="00381098">
        <w:tc>
          <w:tcPr>
            <w:tcW w:w="1418" w:type="dxa"/>
          </w:tcPr>
          <w:p w:rsidR="008726F2" w:rsidRDefault="00E66FCB" w:rsidP="008726F2">
            <w:pPr>
              <w:pStyle w:val="Tabelle"/>
              <w:keepNext/>
            </w:pPr>
            <w:r>
              <w:t>09.01.2018</w:t>
            </w: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keepNext/>
              <w:jc w:val="center"/>
            </w:pPr>
          </w:p>
        </w:tc>
        <w:tc>
          <w:tcPr>
            <w:tcW w:w="4032" w:type="dxa"/>
          </w:tcPr>
          <w:p w:rsidR="008726F2" w:rsidRDefault="00E66FCB" w:rsidP="008726F2">
            <w:pPr>
              <w:pStyle w:val="Tabelle"/>
              <w:keepNext/>
            </w:pPr>
            <w:r>
              <w:t>Version 1.3.0.0</w:t>
            </w:r>
          </w:p>
        </w:tc>
        <w:tc>
          <w:tcPr>
            <w:tcW w:w="2629" w:type="dxa"/>
          </w:tcPr>
          <w:p w:rsidR="008726F2" w:rsidRDefault="00E66FCB" w:rsidP="008726F2">
            <w:pPr>
              <w:pStyle w:val="Tabelle"/>
              <w:keepNext/>
              <w:jc w:val="right"/>
            </w:pPr>
            <w:r>
              <w:t>Wolfgang Scherer</w:t>
            </w:r>
          </w:p>
        </w:tc>
      </w:tr>
      <w:tr w:rsidR="008726F2" w:rsidTr="00381098">
        <w:tc>
          <w:tcPr>
            <w:tcW w:w="1418" w:type="dxa"/>
          </w:tcPr>
          <w:p w:rsidR="008726F2" w:rsidRDefault="00CD4861" w:rsidP="008726F2">
            <w:pPr>
              <w:pStyle w:val="Tabelle"/>
            </w:pPr>
            <w:r>
              <w:t>27.02.2018</w:t>
            </w:r>
          </w:p>
        </w:tc>
        <w:tc>
          <w:tcPr>
            <w:tcW w:w="992" w:type="dxa"/>
          </w:tcPr>
          <w:p w:rsidR="008726F2" w:rsidRDefault="008726F2" w:rsidP="008726F2">
            <w:pPr>
              <w:pStyle w:val="Tabelle"/>
              <w:jc w:val="center"/>
            </w:pPr>
          </w:p>
        </w:tc>
        <w:tc>
          <w:tcPr>
            <w:tcW w:w="4032" w:type="dxa"/>
          </w:tcPr>
          <w:p w:rsidR="008726F2" w:rsidRDefault="00CD4861" w:rsidP="008726F2">
            <w:pPr>
              <w:pStyle w:val="Tabelle"/>
            </w:pPr>
            <w:r>
              <w:t>Version 1.3.1.0</w:t>
            </w:r>
          </w:p>
          <w:p w:rsidR="00F01F9B" w:rsidRDefault="005B6033" w:rsidP="008726F2">
            <w:pPr>
              <w:pStyle w:val="Tabelle"/>
            </w:pPr>
            <w:hyperlink r:id="rId14" w:history="1">
              <w:r w:rsidR="00F01F9B" w:rsidRPr="00F01F9B">
                <w:rPr>
                  <w:rStyle w:val="Hyperlink"/>
                </w:rPr>
                <w:t>KFOQSDB-98</w:t>
              </w:r>
            </w:hyperlink>
          </w:p>
          <w:p w:rsidR="00F01F9B" w:rsidRDefault="005B6033" w:rsidP="008726F2">
            <w:pPr>
              <w:pStyle w:val="Tabelle"/>
            </w:pPr>
            <w:hyperlink r:id="rId15" w:history="1">
              <w:r w:rsidR="00F01F9B" w:rsidRPr="00F01F9B">
                <w:rPr>
                  <w:rStyle w:val="Hyperlink"/>
                </w:rPr>
                <w:t>KFOQSDB-96</w:t>
              </w:r>
            </w:hyperlink>
          </w:p>
        </w:tc>
        <w:tc>
          <w:tcPr>
            <w:tcW w:w="2629" w:type="dxa"/>
          </w:tcPr>
          <w:p w:rsidR="008726F2" w:rsidRDefault="00CD4861" w:rsidP="008726F2">
            <w:pPr>
              <w:pStyle w:val="Tabelle"/>
              <w:keepNext/>
              <w:jc w:val="right"/>
            </w:pPr>
            <w:r>
              <w:t>Wolfgang Scherer</w:t>
            </w:r>
          </w:p>
        </w:tc>
      </w:tr>
    </w:tbl>
    <w:p w:rsidR="00A41623" w:rsidRDefault="00A41623"/>
    <w:p w:rsidR="00D336FD" w:rsidRDefault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Pr="00D336FD" w:rsidRDefault="00D336FD" w:rsidP="00D336FD"/>
    <w:p w:rsidR="00D336FD" w:rsidRDefault="00D336FD" w:rsidP="00D336FD"/>
    <w:p w:rsidR="00D336FD" w:rsidRDefault="00D336FD" w:rsidP="00D336FD"/>
    <w:p w:rsidR="00A41623" w:rsidRPr="00D336FD" w:rsidRDefault="00A41623" w:rsidP="00D336FD">
      <w:pPr>
        <w:sectPr w:rsidR="00A41623" w:rsidRPr="00D336FD">
          <w:headerReference w:type="default" r:id="rId16"/>
          <w:footerReference w:type="default" r:id="rId17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F01F9B" w:rsidRDefault="00A41623" w:rsidP="00B9786E">
      <w:pPr>
        <w:pStyle w:val="berschriftV"/>
      </w:pPr>
      <w:bookmarkStart w:id="4" w:name="_Toc131825623"/>
      <w:r>
        <w:lastRenderedPageBreak/>
        <w:t>Inhalt</w:t>
      </w:r>
      <w:bookmarkEnd w:id="3"/>
      <w:bookmarkEnd w:id="4"/>
      <w:r>
        <w:rPr>
          <w:sz w:val="28"/>
          <w:szCs w:val="40"/>
        </w:rPr>
        <w:fldChar w:fldCharType="begin"/>
      </w:r>
      <w:r w:rsidRPr="00A41623">
        <w:instrText xml:space="preserve"> TOC \t "Tite</w:instrText>
      </w:r>
      <w:r w:rsidR="008B6417" w:rsidRPr="00A41623">
        <w:instrText>l</w:instrText>
      </w:r>
      <w:r w:rsidRPr="00A41623">
        <w:instrText>;1 \n;</w:instrText>
      </w:r>
      <w:r w:rsidR="008B6417" w:rsidRPr="00A41623">
        <w:instrText>Überschrift</w:instrText>
      </w:r>
      <w:r w:rsidRPr="00A41623">
        <w:instrText xml:space="preserve"> 2;2;</w:instrText>
      </w:r>
      <w:r w:rsidR="008B6417" w:rsidRPr="00A41623">
        <w:instrText xml:space="preserve"> Überschrift </w:instrText>
      </w:r>
      <w:r w:rsidRPr="00A41623">
        <w:instrText>3;3;</w:instrText>
      </w:r>
      <w:r w:rsidR="008B6417" w:rsidRPr="00A41623">
        <w:instrText xml:space="preserve"> Überschrift </w:instrText>
      </w:r>
      <w:r w:rsidRPr="00A41623">
        <w:instrText>4;4;</w:instrText>
      </w:r>
      <w:r w:rsidR="008B6417" w:rsidRPr="00A41623">
        <w:instrText xml:space="preserve"> Überschrift </w:instrText>
      </w:r>
      <w:r w:rsidRPr="00A41623">
        <w:instrText xml:space="preserve">5;5" </w:instrText>
      </w:r>
      <w:r>
        <w:rPr>
          <w:sz w:val="28"/>
          <w:szCs w:val="40"/>
        </w:rPr>
        <w:fldChar w:fldCharType="separate"/>
      </w:r>
    </w:p>
    <w:p w:rsidR="00F01F9B" w:rsidRDefault="00F01F9B">
      <w:pPr>
        <w:pStyle w:val="Verzeichnis1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val="de-AT" w:eastAsia="de-AT"/>
        </w:rPr>
      </w:pPr>
      <w:r>
        <w:t>KFOQSDB 1.3.1.0</w:t>
      </w:r>
      <w:r>
        <w:tab/>
      </w:r>
      <w:r>
        <w:fldChar w:fldCharType="begin"/>
      </w:r>
      <w:r>
        <w:instrText xml:space="preserve"> PAGEREF _Toc507516404 \h </w:instrText>
      </w:r>
      <w:r>
        <w:fldChar w:fldCharType="separate"/>
      </w:r>
      <w:r w:rsidR="005B6033">
        <w:t>1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_Toc507516405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_Toc507516406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1.2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_Toc507516407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 w:rsidRPr="007649EE">
        <w:rPr>
          <w:lang w:val="de-DE"/>
        </w:rPr>
        <w:t>1.3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 w:rsidRPr="007649EE">
        <w:rPr>
          <w:lang w:val="de-DE"/>
        </w:rPr>
        <w:t>Hinweise für den Einsatz im Produktivbetrieb</w:t>
      </w:r>
      <w:r>
        <w:tab/>
      </w:r>
      <w:r>
        <w:fldChar w:fldCharType="begin"/>
      </w:r>
      <w:r>
        <w:instrText xml:space="preserve"> PAGEREF _Toc507516408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 w:rsidRPr="007649EE">
        <w:rPr>
          <w:lang w:val="de-DE"/>
        </w:rPr>
        <w:t>1.4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 w:rsidRPr="007649EE">
        <w:rPr>
          <w:lang w:val="de-DE"/>
        </w:rPr>
        <w:t>Hinweise für den Einsatz im Trägertest</w:t>
      </w:r>
      <w:r>
        <w:tab/>
      </w:r>
      <w:r>
        <w:fldChar w:fldCharType="begin"/>
      </w:r>
      <w:r>
        <w:instrText xml:space="preserve"> PAGEREF _Toc507516409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Rollen im Berechtigungssystem (neue Rollen)</w:t>
      </w:r>
      <w:r>
        <w:tab/>
      </w:r>
      <w:r>
        <w:fldChar w:fldCharType="begin"/>
      </w:r>
      <w:r>
        <w:instrText xml:space="preserve"> PAGEREF _Toc507516410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Parameter und Konfigurationseinstellungen (neu, geändert)</w:t>
      </w:r>
      <w:r>
        <w:tab/>
      </w:r>
      <w:r>
        <w:fldChar w:fldCharType="begin"/>
      </w:r>
      <w:r>
        <w:instrText xml:space="preserve"> PAGEREF _Toc507516411 \h </w:instrText>
      </w:r>
      <w:r>
        <w:fldChar w:fldCharType="separate"/>
      </w:r>
      <w:r w:rsidR="005B6033">
        <w:t>4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Behobene Befunde</w:t>
      </w:r>
      <w:r>
        <w:tab/>
      </w:r>
      <w:r>
        <w:fldChar w:fldCharType="begin"/>
      </w:r>
      <w:r>
        <w:instrText xml:space="preserve"> PAGEREF _Toc507516412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Bekannte Probleme und deren fachliche Auswirkungen</w:t>
      </w:r>
      <w:r>
        <w:tab/>
      </w:r>
      <w:r>
        <w:fldChar w:fldCharType="begin"/>
      </w:r>
      <w:r>
        <w:instrText xml:space="preserve"> PAGEREF _Toc507516413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Funktionale Änderungen und Erweiterungen</w:t>
      </w:r>
      <w:r>
        <w:tab/>
      </w:r>
      <w:r>
        <w:fldChar w:fldCharType="begin"/>
      </w:r>
      <w:r>
        <w:instrText xml:space="preserve"> PAGEREF _Toc507516414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Funktionale Änderungen</w:t>
      </w:r>
      <w:r>
        <w:tab/>
      </w:r>
      <w:r>
        <w:fldChar w:fldCharType="begin"/>
      </w:r>
      <w:r>
        <w:instrText xml:space="preserve"> PAGEREF _Toc507516415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PAR-Index Leerwert für „unbekannt“</w:t>
      </w:r>
      <w:r>
        <w:tab/>
      </w:r>
      <w:r>
        <w:fldChar w:fldCharType="begin"/>
      </w:r>
      <w:r>
        <w:instrText xml:space="preserve"> PAGEREF _Toc507516416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Funktionale Erweiterungen</w:t>
      </w:r>
      <w:r>
        <w:tab/>
      </w:r>
      <w:r>
        <w:fldChar w:fldCharType="begin"/>
      </w:r>
      <w:r>
        <w:instrText xml:space="preserve"> PAGEREF _Toc507516417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Verhinderung doppelter Einträge (Eindeutigkeitsschlüssel)</w:t>
      </w:r>
      <w:r>
        <w:tab/>
      </w:r>
      <w:r>
        <w:fldChar w:fldCharType="begin"/>
      </w:r>
      <w:r>
        <w:instrText xml:space="preserve"> PAGEREF _Toc507516418 \h </w:instrText>
      </w:r>
      <w:r>
        <w:fldChar w:fldCharType="separate"/>
      </w:r>
      <w:r w:rsidR="005B6033">
        <w:t>5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Vorbefüllung QS-Träger</w:t>
      </w:r>
      <w:r>
        <w:tab/>
      </w:r>
      <w:r>
        <w:fldChar w:fldCharType="begin"/>
      </w:r>
      <w:r>
        <w:instrText xml:space="preserve"> PAGEREF _Toc507516419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Gleichstellung Abrechnungs- und QS-Träger</w:t>
      </w:r>
      <w:r>
        <w:tab/>
      </w:r>
      <w:r>
        <w:fldChar w:fldCharType="begin"/>
      </w:r>
      <w:r>
        <w:instrText xml:space="preserve"> PAGEREF _Toc507516420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Partnerart je Fall</w:t>
      </w:r>
      <w:r>
        <w:tab/>
      </w:r>
      <w:r>
        <w:fldChar w:fldCharType="begin"/>
      </w:r>
      <w:r>
        <w:instrText xml:space="preserve"> PAGEREF _Toc507516421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Wert „nicht Österreich“ für Bundesland</w:t>
      </w:r>
      <w:r>
        <w:tab/>
      </w:r>
      <w:r>
        <w:fldChar w:fldCharType="begin"/>
      </w:r>
      <w:r>
        <w:instrText xml:space="preserve"> PAGEREF _Toc507516422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Erfassung Staat des Leistungserbringers</w:t>
      </w:r>
      <w:r>
        <w:tab/>
      </w:r>
      <w:r>
        <w:fldChar w:fldCharType="begin"/>
      </w:r>
      <w:r>
        <w:instrText xml:space="preserve"> PAGEREF _Toc507516423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BTNR als Patienten-Identifikator</w:t>
      </w:r>
      <w:r>
        <w:tab/>
      </w:r>
      <w:r>
        <w:fldChar w:fldCharType="begin"/>
      </w:r>
      <w:r>
        <w:instrText xml:space="preserve"> PAGEREF _Toc507516424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Prüfung der VSNR und BTNR</w:t>
      </w:r>
      <w:r>
        <w:tab/>
      </w:r>
      <w:r>
        <w:fldChar w:fldCharType="begin"/>
      </w:r>
      <w:r>
        <w:instrText xml:space="preserve"> PAGEREF _Toc507516425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5.2.9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Prüfung von Datumswerten</w:t>
      </w:r>
      <w:r>
        <w:tab/>
      </w:r>
      <w:r>
        <w:fldChar w:fldCharType="begin"/>
      </w:r>
      <w:r>
        <w:instrText xml:space="preserve"> PAGEREF _Toc507516426 \h </w:instrText>
      </w:r>
      <w:r>
        <w:fldChar w:fldCharType="separate"/>
      </w:r>
      <w:r w:rsidR="005B6033">
        <w:t>6</w:t>
      </w:r>
      <w:r>
        <w:fldChar w:fldCharType="end"/>
      </w:r>
    </w:p>
    <w:p w:rsidR="00F01F9B" w:rsidRDefault="00F01F9B">
      <w:pPr>
        <w:pStyle w:val="Verzeichnis4"/>
        <w:tabs>
          <w:tab w:val="left" w:pos="2021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5.2.10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Indikation „x“ erlaubt</w:t>
      </w:r>
      <w:r>
        <w:tab/>
      </w:r>
      <w:r>
        <w:fldChar w:fldCharType="begin"/>
      </w:r>
      <w:r>
        <w:instrText xml:space="preserve"> PAGEREF _Toc507516427 \h </w:instrText>
      </w:r>
      <w:r>
        <w:fldChar w:fldCharType="separate"/>
      </w:r>
      <w:r w:rsidR="005B6033">
        <w:t>7</w:t>
      </w:r>
      <w:r>
        <w:fldChar w:fldCharType="end"/>
      </w:r>
    </w:p>
    <w:p w:rsidR="00F01F9B" w:rsidRDefault="00F01F9B">
      <w:pPr>
        <w:pStyle w:val="Verzeichnis4"/>
        <w:tabs>
          <w:tab w:val="left" w:pos="2003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PAR-Index Erfassung auch bei Behandlungsabbruch</w:t>
      </w:r>
      <w:r>
        <w:tab/>
      </w:r>
      <w:r>
        <w:fldChar w:fldCharType="begin"/>
      </w:r>
      <w:r>
        <w:instrText xml:space="preserve"> PAGEREF _Toc507516428 \h </w:instrText>
      </w:r>
      <w:r>
        <w:fldChar w:fldCharType="separate"/>
      </w:r>
      <w:r w:rsidR="005B6033">
        <w:t>7</w:t>
      </w:r>
      <w:r>
        <w:fldChar w:fldCharType="end"/>
      </w:r>
    </w:p>
    <w:p w:rsidR="00F01F9B" w:rsidRDefault="00F01F9B">
      <w:pPr>
        <w:pStyle w:val="Verzeichnis4"/>
        <w:tabs>
          <w:tab w:val="left" w:pos="2021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Ablehnen des Imports bei fehlerhaften Datensätzen</w:t>
      </w:r>
      <w:r>
        <w:tab/>
      </w:r>
      <w:r>
        <w:fldChar w:fldCharType="begin"/>
      </w:r>
      <w:r>
        <w:instrText xml:space="preserve"> PAGEREF _Toc507516429 \h </w:instrText>
      </w:r>
      <w:r>
        <w:fldChar w:fldCharType="separate"/>
      </w:r>
      <w:r w:rsidR="005B6033">
        <w:t>7</w:t>
      </w:r>
      <w:r>
        <w:fldChar w:fldCharType="end"/>
      </w:r>
    </w:p>
    <w:p w:rsidR="00F01F9B" w:rsidRDefault="00F01F9B">
      <w:pPr>
        <w:pStyle w:val="Verzeichnis4"/>
        <w:tabs>
          <w:tab w:val="left" w:pos="2021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Gleichartige Prüfung bei GUI-Eingabe und Import</w:t>
      </w:r>
      <w:r>
        <w:tab/>
      </w:r>
      <w:r>
        <w:fldChar w:fldCharType="begin"/>
      </w:r>
      <w:r>
        <w:instrText xml:space="preserve"> PAGEREF _Toc507516430 \h </w:instrText>
      </w:r>
      <w:r>
        <w:fldChar w:fldCharType="separate"/>
      </w:r>
      <w:r w:rsidR="005B6033">
        <w:t>7</w:t>
      </w:r>
      <w:r>
        <w:fldChar w:fldCharType="end"/>
      </w:r>
    </w:p>
    <w:p w:rsidR="00F01F9B" w:rsidRDefault="00F01F9B">
      <w:pPr>
        <w:pStyle w:val="Verzeichnis4"/>
        <w:tabs>
          <w:tab w:val="left" w:pos="2021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5.2.14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Importieren von „Anfang“- und „Ende“-Datensätzen</w:t>
      </w:r>
      <w:r>
        <w:tab/>
      </w:r>
      <w:r>
        <w:fldChar w:fldCharType="begin"/>
      </w:r>
      <w:r>
        <w:instrText xml:space="preserve"> PAGEREF _Toc507516431 \h </w:instrText>
      </w:r>
      <w:r>
        <w:fldChar w:fldCharType="separate"/>
      </w:r>
      <w:r w:rsidR="005B6033">
        <w:t>7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_Toc507516432 \h </w:instrText>
      </w:r>
      <w:r>
        <w:fldChar w:fldCharType="separate"/>
      </w:r>
      <w:r w:rsidR="005B6033">
        <w:t>8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Vorschau auf die Versionen 1.4 und 1.5</w:t>
      </w:r>
      <w:r>
        <w:tab/>
      </w:r>
      <w:r>
        <w:fldChar w:fldCharType="begin"/>
      </w:r>
      <w:r>
        <w:instrText xml:space="preserve"> PAGEREF _Toc507516433 \h </w:instrText>
      </w:r>
      <w:r>
        <w:fldChar w:fldCharType="separate"/>
      </w:r>
      <w:r w:rsidR="005B6033">
        <w:t>8</w:t>
      </w:r>
      <w:r>
        <w:fldChar w:fldCharType="end"/>
      </w:r>
    </w:p>
    <w:p w:rsidR="00F01F9B" w:rsidRDefault="00F01F9B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Anhang</w:t>
      </w:r>
      <w:r>
        <w:tab/>
      </w:r>
      <w:r>
        <w:fldChar w:fldCharType="begin"/>
      </w:r>
      <w:r>
        <w:instrText xml:space="preserve"> PAGEREF _Toc507516434 \h </w:instrText>
      </w:r>
      <w:r>
        <w:fldChar w:fldCharType="separate"/>
      </w:r>
      <w:r w:rsidR="005B6033">
        <w:t>1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_Toc507516435 \h </w:instrText>
      </w:r>
      <w:r>
        <w:fldChar w:fldCharType="separate"/>
      </w:r>
      <w:r w:rsidR="005B6033">
        <w:t>1</w:t>
      </w:r>
      <w:r>
        <w:fldChar w:fldCharType="end"/>
      </w:r>
    </w:p>
    <w:p w:rsidR="00F01F9B" w:rsidRDefault="00F01F9B">
      <w:pPr>
        <w:pStyle w:val="Verzeichnis3"/>
        <w:tabs>
          <w:tab w:val="left" w:pos="1418"/>
        </w:tabs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de-AT"/>
        </w:rPr>
        <w:tab/>
      </w:r>
      <w:r>
        <w:t>Gültigkeit der Import-Felder</w:t>
      </w:r>
      <w:r>
        <w:tab/>
      </w:r>
      <w:r>
        <w:fldChar w:fldCharType="begin"/>
      </w:r>
      <w:r>
        <w:instrText xml:space="preserve"> PAGEREF _Toc507516436 \h </w:instrText>
      </w:r>
      <w:r>
        <w:fldChar w:fldCharType="separate"/>
      </w:r>
      <w:r w:rsidR="005B6033">
        <w:t>1</w:t>
      </w:r>
      <w:r>
        <w:fldChar w:fldCharType="end"/>
      </w:r>
    </w:p>
    <w:p w:rsidR="00A41623" w:rsidRDefault="00A41623">
      <w:r>
        <w:fldChar w:fldCharType="end"/>
      </w:r>
    </w:p>
    <w:p w:rsidR="00A41623" w:rsidRDefault="00A41623">
      <w:pPr>
        <w:sectPr w:rsidR="00A41623">
          <w:footerReference w:type="default" r:id="rId18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</w:p>
    <w:p w:rsidR="00885633" w:rsidRDefault="00885633">
      <w:pPr>
        <w:pStyle w:val="berschrift2"/>
      </w:pPr>
      <w:bookmarkStart w:id="5" w:name="_Toc507516405"/>
      <w:bookmarkStart w:id="6" w:name="_Toc81899607"/>
      <w:bookmarkStart w:id="7" w:name="_Toc43270219"/>
      <w:bookmarkStart w:id="8" w:name="_Toc131825624"/>
      <w:bookmarkStart w:id="9" w:name="_Toc131829550"/>
      <w:r>
        <w:lastRenderedPageBreak/>
        <w:t>Allgemein</w:t>
      </w:r>
      <w:bookmarkEnd w:id="5"/>
    </w:p>
    <w:p w:rsidR="00885633" w:rsidRDefault="003D1079" w:rsidP="00885633">
      <w:r w:rsidRPr="003D1079">
        <w:t xml:space="preserve">Die </w:t>
      </w:r>
      <w:r>
        <w:t>Version 1.3 der KFO QS-Datenbank (KFOQSDB) Software beinhaltet den ersten Teil der am 05.09.2017 verabschiedeten Anforderungsspezifikation zur KFOQSDB in der Version 1.3.</w:t>
      </w:r>
    </w:p>
    <w:p w:rsidR="003D1079" w:rsidRDefault="003D1079" w:rsidP="00885633">
      <w:r>
        <w:t>Die wesentlichen Veränderungen gegenüber der mit 01.01.2018 in Produktion befindlichen Version 1.1 sind:</w:t>
      </w:r>
    </w:p>
    <w:p w:rsidR="003D1079" w:rsidRDefault="003D1079" w:rsidP="003D1079">
      <w:pPr>
        <w:pStyle w:val="Listenabsatz"/>
        <w:numPr>
          <w:ilvl w:val="0"/>
          <w:numId w:val="10"/>
        </w:numPr>
      </w:pPr>
      <w:r>
        <w:t>Verbesserte Konsistenzprüfungen sowie Prüfung auf Datensatz-Duplikate</w:t>
      </w:r>
    </w:p>
    <w:p w:rsidR="003D1079" w:rsidRDefault="003D1079" w:rsidP="003D1079">
      <w:pPr>
        <w:pStyle w:val="Listenabsatz"/>
        <w:numPr>
          <w:ilvl w:val="0"/>
          <w:numId w:val="10"/>
        </w:numPr>
      </w:pPr>
      <w:r>
        <w:t>Möglichkeit des Imports von Neuanlagen und Beendigungen</w:t>
      </w:r>
    </w:p>
    <w:p w:rsidR="003D1079" w:rsidRPr="003D1079" w:rsidRDefault="003D1079" w:rsidP="003D1079">
      <w:r>
        <w:t>Die einzelnen Änderungen im Detail sind in den folgenden Abschnitten aufgeführt.</w:t>
      </w:r>
    </w:p>
    <w:p w:rsidR="00885633" w:rsidRDefault="00885633" w:rsidP="00885633">
      <w:pPr>
        <w:pStyle w:val="berschrift3"/>
      </w:pPr>
      <w:bookmarkStart w:id="10" w:name="_Toc507516406"/>
      <w:proofErr w:type="spellStart"/>
      <w:r>
        <w:t>Releasekennzeichnung</w:t>
      </w:r>
      <w:bookmarkEnd w:id="10"/>
      <w:proofErr w:type="spellEnd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D30AF4" w:rsidRPr="00D30AF4" w:rsidTr="00BB1566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r w:rsidRPr="00BB1566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D30AF4" w:rsidRPr="00BB1566" w:rsidRDefault="00D30AF4" w:rsidP="00BB1566">
            <w:pPr>
              <w:ind w:left="0"/>
              <w:rPr>
                <w:b/>
              </w:rPr>
            </w:pPr>
            <w:proofErr w:type="spellStart"/>
            <w:r w:rsidRPr="00BB1566">
              <w:rPr>
                <w:b/>
              </w:rPr>
              <w:t>Releaseart</w:t>
            </w:r>
            <w:proofErr w:type="spellEnd"/>
          </w:p>
        </w:tc>
      </w:tr>
      <w:tr w:rsidR="00D30AF4" w:rsidRPr="00D30AF4" w:rsidTr="00CD4861"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0AF4" w:rsidRPr="00D30AF4" w:rsidRDefault="00D336FD" w:rsidP="00BB1566">
            <w:pPr>
              <w:ind w:left="0"/>
            </w:pPr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0AF4" w:rsidRPr="00D30AF4" w:rsidRDefault="00D336FD" w:rsidP="008726F2">
            <w:pPr>
              <w:ind w:left="0"/>
            </w:pPr>
            <w:r>
              <w:t>1.</w:t>
            </w:r>
            <w:r w:rsidR="00E66FCB">
              <w:t>3</w:t>
            </w:r>
            <w:r>
              <w:t>.</w:t>
            </w:r>
            <w:r w:rsidR="00CD4861">
              <w:t>0</w:t>
            </w:r>
            <w:r>
              <w:t>.0</w:t>
            </w:r>
          </w:p>
        </w:tc>
        <w:tc>
          <w:tcPr>
            <w:tcW w:w="3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30AF4" w:rsidRPr="00D30AF4" w:rsidRDefault="003D1079" w:rsidP="00BB1566">
            <w:pPr>
              <w:ind w:left="0"/>
            </w:pPr>
            <w:r>
              <w:t>Minor</w:t>
            </w:r>
          </w:p>
        </w:tc>
      </w:tr>
      <w:tr w:rsidR="00CD4861" w:rsidRPr="00D30AF4" w:rsidTr="00BB1566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CD4861" w:rsidRDefault="00CD4861" w:rsidP="00BB1566">
            <w:pPr>
              <w:ind w:left="0"/>
            </w:pPr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CD4861" w:rsidRDefault="00CD4861" w:rsidP="008726F2">
            <w:pPr>
              <w:ind w:left="0"/>
            </w:pPr>
            <w:r>
              <w:t>1.3.1.0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CD4861" w:rsidRDefault="00CD4861" w:rsidP="00BB1566">
            <w:pPr>
              <w:ind w:left="0"/>
            </w:pPr>
            <w:r>
              <w:t>Patch</w:t>
            </w:r>
          </w:p>
        </w:tc>
      </w:tr>
    </w:tbl>
    <w:p w:rsidR="00BB1566" w:rsidRPr="004845D6" w:rsidRDefault="00BB1566" w:rsidP="00BB1566">
      <w:pPr>
        <w:pStyle w:val="berschrift3"/>
      </w:pPr>
      <w:bookmarkStart w:id="11" w:name="_Toc507516407"/>
      <w:r w:rsidRPr="004845D6">
        <w:t>Ansprechpartner</w:t>
      </w:r>
      <w:bookmarkEnd w:id="11"/>
    </w:p>
    <w:p w:rsidR="00BB1566" w:rsidRDefault="008726F2" w:rsidP="00BB1566">
      <w:pPr>
        <w:rPr>
          <w:i/>
        </w:rPr>
      </w:pPr>
      <w:r>
        <w:rPr>
          <w:i/>
        </w:rPr>
        <w:t>Thomas Schauer</w:t>
      </w:r>
      <w:r w:rsidR="00374E53">
        <w:rPr>
          <w:i/>
        </w:rPr>
        <w:t>, ITSV</w:t>
      </w:r>
    </w:p>
    <w:p w:rsidR="00374E53" w:rsidRDefault="00374E53" w:rsidP="00BB1566">
      <w:pPr>
        <w:rPr>
          <w:i/>
        </w:rPr>
      </w:pPr>
      <w:r>
        <w:rPr>
          <w:i/>
        </w:rPr>
        <w:t>Sven Plass, HVB</w:t>
      </w:r>
    </w:p>
    <w:p w:rsidR="00E149EE" w:rsidRDefault="00E149EE" w:rsidP="00BB1566">
      <w:pPr>
        <w:rPr>
          <w:i/>
        </w:rPr>
      </w:pPr>
      <w:r>
        <w:rPr>
          <w:i/>
        </w:rPr>
        <w:t>Bernhard Hörmann, ITSV</w:t>
      </w:r>
    </w:p>
    <w:p w:rsidR="00E66FCB" w:rsidRPr="004845D6" w:rsidRDefault="00E66FCB" w:rsidP="00BB1566">
      <w:pPr>
        <w:rPr>
          <w:i/>
        </w:rPr>
      </w:pPr>
      <w:r>
        <w:rPr>
          <w:i/>
        </w:rPr>
        <w:t>Wolfgang Scherer, ITSV</w:t>
      </w:r>
    </w:p>
    <w:p w:rsidR="00056455" w:rsidRDefault="00056455" w:rsidP="00056455">
      <w:pPr>
        <w:pStyle w:val="berschrift3"/>
        <w:rPr>
          <w:lang w:val="de-DE"/>
        </w:rPr>
      </w:pPr>
      <w:bookmarkStart w:id="12" w:name="_Toc507516408"/>
      <w:r w:rsidRPr="00056455">
        <w:rPr>
          <w:lang w:val="de-DE"/>
        </w:rPr>
        <w:t>Hinweise für den Einsatz im Produktivbetrieb</w:t>
      </w:r>
      <w:bookmarkEnd w:id="12"/>
    </w:p>
    <w:p w:rsidR="00056455" w:rsidRDefault="00D73228" w:rsidP="00056455">
      <w:pPr>
        <w:rPr>
          <w:lang w:val="de-DE"/>
        </w:rPr>
      </w:pPr>
      <w:r>
        <w:rPr>
          <w:lang w:val="de-DE"/>
        </w:rPr>
        <w:t>Nach der Installation der Software sind in der Datenbank folgende Migrations-Prozeduren nötig:</w:t>
      </w:r>
    </w:p>
    <w:p w:rsidR="00D73228" w:rsidRDefault="00D73228" w:rsidP="00D73228">
      <w:pPr>
        <w:pStyle w:val="Listenabsatz"/>
        <w:numPr>
          <w:ilvl w:val="0"/>
          <w:numId w:val="9"/>
        </w:numPr>
        <w:rPr>
          <w:lang w:val="de-DE"/>
        </w:rPr>
      </w:pPr>
      <w:r>
        <w:rPr>
          <w:lang w:val="de-DE"/>
        </w:rPr>
        <w:t>Ergänzen des LE-</w:t>
      </w:r>
      <w:proofErr w:type="spellStart"/>
      <w:r>
        <w:rPr>
          <w:lang w:val="de-DE"/>
        </w:rPr>
        <w:t>Staatendocdes</w:t>
      </w:r>
      <w:proofErr w:type="spellEnd"/>
      <w:r>
        <w:rPr>
          <w:lang w:val="de-DE"/>
        </w:rPr>
        <w:t xml:space="preserve"> bei der Einträgen für die Leistungserbringer</w:t>
      </w:r>
    </w:p>
    <w:p w:rsidR="00D73228" w:rsidRPr="00D73228" w:rsidRDefault="00D73228" w:rsidP="00D73228">
      <w:pPr>
        <w:pStyle w:val="Listenabsatz"/>
        <w:numPr>
          <w:ilvl w:val="0"/>
          <w:numId w:val="9"/>
        </w:numPr>
        <w:rPr>
          <w:lang w:val="de-DE"/>
        </w:rPr>
      </w:pPr>
      <w:r>
        <w:rPr>
          <w:lang w:val="de-DE"/>
        </w:rPr>
        <w:t>Umsetzung des Codes „999“ für PAR-Index „unbekannt“ auf „“ (leer).</w:t>
      </w:r>
    </w:p>
    <w:p w:rsidR="00056455" w:rsidRDefault="00056455" w:rsidP="00056455">
      <w:pPr>
        <w:pStyle w:val="berschrift3"/>
        <w:rPr>
          <w:lang w:val="de-DE"/>
        </w:rPr>
      </w:pPr>
      <w:bookmarkStart w:id="13" w:name="_Toc507516409"/>
      <w:r w:rsidRPr="00056455">
        <w:rPr>
          <w:lang w:val="de-DE"/>
        </w:rPr>
        <w:t>Hinweise für den Einsatz im Trägertest</w:t>
      </w:r>
      <w:bookmarkEnd w:id="13"/>
    </w:p>
    <w:p w:rsidR="00056455" w:rsidRPr="00056455" w:rsidRDefault="00D73228" w:rsidP="00056455">
      <w:pPr>
        <w:rPr>
          <w:lang w:val="de-DE"/>
        </w:rPr>
      </w:pPr>
      <w:r>
        <w:rPr>
          <w:lang w:val="de-DE"/>
        </w:rPr>
        <w:t>Migration wie im Produktiv-System (siehe oben).</w:t>
      </w:r>
    </w:p>
    <w:p w:rsidR="00056455" w:rsidRDefault="00056455">
      <w:pPr>
        <w:pStyle w:val="berschrift2"/>
      </w:pPr>
      <w:bookmarkStart w:id="14" w:name="_Toc507516410"/>
      <w:r>
        <w:t>Rollen im Berechtigungssystem (neue Rollen)</w:t>
      </w:r>
      <w:bookmarkEnd w:id="14"/>
    </w:p>
    <w:p w:rsidR="00E149EE" w:rsidRPr="00E149EE" w:rsidRDefault="00E149EE" w:rsidP="00E149EE">
      <w:r>
        <w:t>Keine Veränderung</w:t>
      </w:r>
      <w:r w:rsidR="0023386B">
        <w:t>.</w:t>
      </w:r>
    </w:p>
    <w:p w:rsidR="00056455" w:rsidRDefault="00056455">
      <w:pPr>
        <w:pStyle w:val="berschrift2"/>
      </w:pPr>
      <w:bookmarkStart w:id="15" w:name="_Toc507516411"/>
      <w:r>
        <w:t>Parameter und Ko</w:t>
      </w:r>
      <w:r w:rsidR="00374E53">
        <w:t>n</w:t>
      </w:r>
      <w:r>
        <w:t>figurationseinstellungen (neu, geändert)</w:t>
      </w:r>
      <w:bookmarkEnd w:id="15"/>
    </w:p>
    <w:p w:rsidR="0093527D" w:rsidRPr="009B64D5" w:rsidRDefault="00E149EE" w:rsidP="0093527D">
      <w:pPr>
        <w:rPr>
          <w:lang w:val="en-US"/>
        </w:rPr>
      </w:pPr>
      <w:proofErr w:type="spellStart"/>
      <w:r>
        <w:rPr>
          <w:lang w:val="en-US"/>
        </w:rPr>
        <w:t>Keine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Veränderung</w:t>
      </w:r>
      <w:proofErr w:type="spellEnd"/>
      <w:r w:rsidR="0023386B">
        <w:rPr>
          <w:lang w:val="en-US"/>
        </w:rPr>
        <w:t>.</w:t>
      </w:r>
    </w:p>
    <w:p w:rsidR="00885633" w:rsidRDefault="00885633">
      <w:pPr>
        <w:pStyle w:val="berschrift2"/>
      </w:pPr>
      <w:bookmarkStart w:id="16" w:name="_Toc507516412"/>
      <w:r>
        <w:lastRenderedPageBreak/>
        <w:t>Behobene Befunde</w:t>
      </w:r>
      <w:bookmarkEnd w:id="16"/>
    </w:p>
    <w:p w:rsidR="00056455" w:rsidRDefault="005B6033" w:rsidP="00885633">
      <w:hyperlink r:id="rId19" w:history="1">
        <w:r w:rsidR="00E66FCB" w:rsidRPr="00E66FCB">
          <w:rPr>
            <w:rStyle w:val="Hyperlink"/>
          </w:rPr>
          <w:t>KFOQSDB-32</w:t>
        </w:r>
      </w:hyperlink>
      <w:r w:rsidR="00E66FCB">
        <w:t xml:space="preserve">: </w:t>
      </w:r>
      <w:r w:rsidR="00E66FCB" w:rsidRPr="00E66FCB">
        <w:rPr>
          <w:u w:val="single"/>
        </w:rPr>
        <w:t>Stornierung nur für eigenen Träger erlauben</w:t>
      </w:r>
    </w:p>
    <w:p w:rsidR="00E66FCB" w:rsidRDefault="00D64CCA" w:rsidP="00885633">
      <w:r>
        <w:t>Bis zur Version 1.1</w:t>
      </w:r>
      <w:r w:rsidR="00E66FCB">
        <w:t xml:space="preserve"> war es möglich, einen beliebigen QS-Datensatz anzusehen und auch zu stornieren.</w:t>
      </w:r>
    </w:p>
    <w:p w:rsidR="00E66FCB" w:rsidRDefault="00E66FCB" w:rsidP="00885633">
      <w:r>
        <w:t>Ab der Version 1.3 ist es nur mehr möglich, eigene Datensätze (d.h. Datensätze, deren Ersteller vom eigenen Träger ist) zu suchen, anzusehen und damit auch zu stornieren.</w:t>
      </w:r>
    </w:p>
    <w:p w:rsidR="00CD4861" w:rsidRDefault="005B6033" w:rsidP="00CD4861">
      <w:hyperlink r:id="rId20" w:history="1">
        <w:r w:rsidR="00CD4861" w:rsidRPr="00CD4861">
          <w:rPr>
            <w:rStyle w:val="Hyperlink"/>
          </w:rPr>
          <w:t>KFOQSDB-79</w:t>
        </w:r>
      </w:hyperlink>
      <w:r w:rsidR="00CD4861">
        <w:t>: Konsistenzfehler beim Import</w:t>
      </w:r>
    </w:p>
    <w:p w:rsidR="00CD4861" w:rsidRDefault="00CD4861" w:rsidP="00885633">
      <w:r>
        <w:t>Fehler in V 1.3.0.0: Passiert beim Upload ein Fehler, wird die Transaktion nicht zurückgesetzt und Teile des Uploads eingespielt.</w:t>
      </w:r>
    </w:p>
    <w:p w:rsidR="00CD4861" w:rsidRDefault="00CD4861" w:rsidP="00885633">
      <w:r>
        <w:t>Ab V 1.3.1.0 werden Fehler beim Import-Upload korrekt behandelt.</w:t>
      </w:r>
    </w:p>
    <w:p w:rsidR="00CD4861" w:rsidRDefault="005B6033" w:rsidP="00885633">
      <w:hyperlink r:id="rId21" w:history="1">
        <w:r w:rsidR="00CD4861" w:rsidRPr="00CD4861">
          <w:rPr>
            <w:rStyle w:val="Hyperlink"/>
          </w:rPr>
          <w:t>KFOQSDB-96</w:t>
        </w:r>
      </w:hyperlink>
      <w:r w:rsidR="00CD4861">
        <w:t>: Ausnahme für fingierte Vertragspartnernummer</w:t>
      </w:r>
    </w:p>
    <w:p w:rsidR="00CD4861" w:rsidRDefault="00CD4861" w:rsidP="00885633">
      <w:r>
        <w:t>V 1.3.0.0 erlaubt keine Erfassung von VPNRs, die zwar fachlich gültig sind, deren Prüfsumme aber nicht korrekt ist.</w:t>
      </w:r>
    </w:p>
    <w:p w:rsidR="00CD4861" w:rsidRPr="00B9786E" w:rsidRDefault="00CD4861" w:rsidP="00885633">
      <w:r>
        <w:t xml:space="preserve">Ab V 1.3.1.0 kann durch eine eigene Checkbox die Validierung der VPNR unterdrückt werden, wenn eine solche Sondersituation erfasst werden soll. Der Vorgabewert ist allerdings die vollkommene Validierung der VPNR, die </w:t>
      </w:r>
      <w:proofErr w:type="spellStart"/>
      <w:r>
        <w:t>SOnder</w:t>
      </w:r>
      <w:proofErr w:type="spellEnd"/>
      <w:r>
        <w:t>-Situation muss bewusst durch den Benutzer durch Entfernen des Häkchens der Checkbox ausgelöst werden.</w:t>
      </w:r>
      <w:r w:rsidR="00F01F9B">
        <w:t xml:space="preserve"> Für den Import steht eine eigene Spalte „VPNR nicht validieren zur Verfügung, in der der Wert „</w:t>
      </w:r>
      <w:proofErr w:type="spellStart"/>
      <w:r w:rsidR="00F01F9B">
        <w:t>true</w:t>
      </w:r>
      <w:proofErr w:type="spellEnd"/>
      <w:r w:rsidR="00F01F9B">
        <w:t>“ eingetragen werden muss, falls die VPNR nicht geprüft werden soll.</w:t>
      </w:r>
    </w:p>
    <w:p w:rsidR="00056455" w:rsidRDefault="00056455" w:rsidP="00056455">
      <w:pPr>
        <w:pStyle w:val="berschrift3"/>
      </w:pPr>
      <w:bookmarkStart w:id="17" w:name="_Toc507516413"/>
      <w:r>
        <w:t>Bekannte Probleme und deren fachliche Auswirkungen</w:t>
      </w:r>
      <w:bookmarkEnd w:id="17"/>
    </w:p>
    <w:p w:rsidR="00056455" w:rsidRDefault="00B623B5" w:rsidP="00056455">
      <w:pPr>
        <w:rPr>
          <w:i/>
        </w:rPr>
      </w:pPr>
      <w:r>
        <w:rPr>
          <w:i/>
        </w:rPr>
        <w:t>Keine Probleme bekannt.</w:t>
      </w:r>
    </w:p>
    <w:p w:rsidR="00A41623" w:rsidRDefault="00885633">
      <w:pPr>
        <w:pStyle w:val="berschrift2"/>
      </w:pPr>
      <w:bookmarkStart w:id="18" w:name="_Toc507516414"/>
      <w:r>
        <w:t>Funktionale Änderungen und Erweiterungen</w:t>
      </w:r>
      <w:bookmarkEnd w:id="6"/>
      <w:bookmarkEnd w:id="7"/>
      <w:bookmarkEnd w:id="8"/>
      <w:bookmarkEnd w:id="9"/>
      <w:bookmarkEnd w:id="18"/>
    </w:p>
    <w:p w:rsidR="002C342F" w:rsidRPr="002C342F" w:rsidRDefault="002C342F" w:rsidP="002C342F">
      <w:r>
        <w:t xml:space="preserve">In der folgenden Aufstellung sind die neuen oder geänderten Funktionen mit Verweisen auf die Anforderungsspezifikation </w:t>
      </w:r>
      <w:r w:rsidR="003D1079">
        <w:t xml:space="preserve">(in der Version 1.3) </w:t>
      </w:r>
      <w:r>
        <w:t>in der Form [</w:t>
      </w:r>
      <w:proofErr w:type="spellStart"/>
      <w:r>
        <w:t>ANFxxxxxx</w:t>
      </w:r>
      <w:proofErr w:type="spellEnd"/>
      <w:r>
        <w:t>] versehen.</w:t>
      </w:r>
      <w:r w:rsidR="00D64CCA">
        <w:br/>
        <w:t>Verweise der Form KFOQSDB-xx verweisen auf das JIRA Befund-System der ITSV und sind hier nur als Zusatzinformation enthalten.</w:t>
      </w:r>
    </w:p>
    <w:p w:rsidR="00885633" w:rsidRDefault="00885633" w:rsidP="00885633">
      <w:pPr>
        <w:pStyle w:val="berschrift3"/>
      </w:pPr>
      <w:bookmarkStart w:id="19" w:name="_Toc507516415"/>
      <w:bookmarkStart w:id="20" w:name="_Toc131825625"/>
      <w:bookmarkStart w:id="21" w:name="_Toc131829551"/>
      <w:r>
        <w:t>Funktionale Änderungen</w:t>
      </w:r>
      <w:bookmarkEnd w:id="19"/>
    </w:p>
    <w:p w:rsidR="00506915" w:rsidRDefault="00506915" w:rsidP="00506915">
      <w:pPr>
        <w:pStyle w:val="berschrift4"/>
      </w:pPr>
      <w:bookmarkStart w:id="22" w:name="_Toc507516416"/>
      <w:r>
        <w:t xml:space="preserve">PAR-Index </w:t>
      </w:r>
      <w:proofErr w:type="spellStart"/>
      <w:r>
        <w:t>Leerwert</w:t>
      </w:r>
      <w:proofErr w:type="spellEnd"/>
      <w:r>
        <w:t xml:space="preserve"> für „unbekannt“</w:t>
      </w:r>
      <w:bookmarkEnd w:id="22"/>
    </w:p>
    <w:p w:rsidR="00506915" w:rsidRPr="00E81063" w:rsidRDefault="00506915" w:rsidP="00506915">
      <w:pPr>
        <w:rPr>
          <w:sz w:val="22"/>
          <w:szCs w:val="22"/>
        </w:rPr>
      </w:pPr>
      <w:r>
        <w:t xml:space="preserve">Siehe </w:t>
      </w:r>
      <w:r w:rsidRPr="00E81063">
        <w:t>[</w:t>
      </w:r>
      <w:r w:rsidRPr="00E81063">
        <w:rPr>
          <w:sz w:val="22"/>
          <w:szCs w:val="22"/>
        </w:rPr>
        <w:t>ANF0301.05.03.01].</w:t>
      </w:r>
    </w:p>
    <w:p w:rsidR="00506915" w:rsidRDefault="00506915" w:rsidP="00506915">
      <w:pPr>
        <w:rPr>
          <w:sz w:val="22"/>
          <w:szCs w:val="22"/>
        </w:rPr>
      </w:pPr>
      <w:r w:rsidRPr="00E81063">
        <w:rPr>
          <w:sz w:val="22"/>
          <w:szCs w:val="22"/>
        </w:rPr>
        <w:t xml:space="preserve">Ab der Version 1.3 ist es möglich, für den Anfangswert des PAR-Index auch den </w:t>
      </w:r>
      <w:proofErr w:type="spellStart"/>
      <w:r w:rsidRPr="00E81063">
        <w:rPr>
          <w:sz w:val="22"/>
          <w:szCs w:val="22"/>
        </w:rPr>
        <w:t>Leerwert</w:t>
      </w:r>
      <w:proofErr w:type="spellEnd"/>
      <w:r>
        <w:rPr>
          <w:sz w:val="22"/>
          <w:szCs w:val="22"/>
        </w:rPr>
        <w:t xml:space="preserve"> (Feld leer lassen) mit der Bedeutung „unbekannt“ zu erfassen.</w:t>
      </w:r>
    </w:p>
    <w:p w:rsidR="008726F2" w:rsidRPr="008726F2" w:rsidRDefault="00506915" w:rsidP="00506915">
      <w:r>
        <w:rPr>
          <w:sz w:val="22"/>
          <w:szCs w:val="22"/>
        </w:rPr>
        <w:t>Der bisher geltende Wert „999“ für unbekannt wird beim Einsatz von Version 1.3 auf den Wert „“ (leer=“unbekannt“) migriert.</w:t>
      </w:r>
    </w:p>
    <w:p w:rsidR="00885633" w:rsidRDefault="00885633" w:rsidP="00885633">
      <w:pPr>
        <w:pStyle w:val="berschrift3"/>
      </w:pPr>
      <w:bookmarkStart w:id="23" w:name="_Toc507516417"/>
      <w:r>
        <w:t>Funktionale Erweiterungen</w:t>
      </w:r>
      <w:bookmarkEnd w:id="23"/>
    </w:p>
    <w:p w:rsidR="00506915" w:rsidRDefault="00506915" w:rsidP="00E66FCB">
      <w:pPr>
        <w:pStyle w:val="berschrift4"/>
      </w:pPr>
      <w:bookmarkStart w:id="24" w:name="_Toc507516418"/>
      <w:r>
        <w:t>Verhinderung doppelter Einträge (Eindeutigkeitsschlüssel)</w:t>
      </w:r>
      <w:bookmarkEnd w:id="24"/>
    </w:p>
    <w:p w:rsidR="00506915" w:rsidRDefault="00506915" w:rsidP="00506915">
      <w:r>
        <w:t>Siehe [ANF0302]</w:t>
      </w:r>
    </w:p>
    <w:p w:rsidR="00506915" w:rsidRPr="00506915" w:rsidRDefault="00506915" w:rsidP="00506915">
      <w:r>
        <w:lastRenderedPageBreak/>
        <w:t xml:space="preserve">Ab Version 1.3 wird bei der Anlage eines Datensatzes geprüft, ob es schon einen vorhandenen Datensatz mit denselben Werten für </w:t>
      </w:r>
      <w:r w:rsidRPr="00506915">
        <w:t xml:space="preserve">VSNR, VPNR, </w:t>
      </w:r>
      <w:proofErr w:type="spellStart"/>
      <w:r w:rsidRPr="00506915">
        <w:t>Fallart</w:t>
      </w:r>
      <w:proofErr w:type="spellEnd"/>
      <w:r w:rsidRPr="00506915">
        <w:t>, Abrechnungszuständiger Träger</w:t>
      </w:r>
      <w:r>
        <w:t xml:space="preserve"> gibt. Eine erneute Erfassung wird abgelehnt mit der Fehlermeldung „Eindeutigkeitsschlüssel verletzt“.</w:t>
      </w:r>
    </w:p>
    <w:p w:rsidR="006457D3" w:rsidRDefault="006457D3" w:rsidP="00E66FCB">
      <w:pPr>
        <w:pStyle w:val="berschrift4"/>
      </w:pPr>
      <w:bookmarkStart w:id="25" w:name="_Toc507516419"/>
      <w:proofErr w:type="spellStart"/>
      <w:r>
        <w:t>Vorbefüllung</w:t>
      </w:r>
      <w:proofErr w:type="spellEnd"/>
      <w:r>
        <w:t xml:space="preserve"> QS-Träger</w:t>
      </w:r>
      <w:bookmarkEnd w:id="25"/>
    </w:p>
    <w:p w:rsidR="0095727B" w:rsidRDefault="0095727B" w:rsidP="006457D3">
      <w:r>
        <w:t xml:space="preserve">Siehe </w:t>
      </w:r>
      <w:r w:rsidRPr="006457D3">
        <w:t>[ANF0301.01</w:t>
      </w:r>
      <w:r>
        <w:t>.01</w:t>
      </w:r>
      <w:r w:rsidRPr="006457D3">
        <w:t>]</w:t>
      </w:r>
      <w:r>
        <w:t>.</w:t>
      </w:r>
    </w:p>
    <w:p w:rsidR="006457D3" w:rsidRPr="006457D3" w:rsidRDefault="006457D3" w:rsidP="0007424E">
      <w:r>
        <w:t xml:space="preserve">Ab der Version 1.3 wird der „QS-Träger“ </w:t>
      </w:r>
      <w:r w:rsidR="0007424E">
        <w:t xml:space="preserve">und der „Abrechnungszuständige Träger“ </w:t>
      </w:r>
      <w:r>
        <w:t>aus dem Trägercode des e</w:t>
      </w:r>
      <w:r w:rsidR="0007424E">
        <w:t xml:space="preserve">rfassenden Benutzers </w:t>
      </w:r>
      <w:proofErr w:type="spellStart"/>
      <w:r w:rsidR="0007424E">
        <w:t>vorbefüllt</w:t>
      </w:r>
      <w:proofErr w:type="spellEnd"/>
      <w:r w:rsidR="0007424E">
        <w:t>.</w:t>
      </w:r>
    </w:p>
    <w:p w:rsidR="006457D3" w:rsidRDefault="0095727B" w:rsidP="00E66FCB">
      <w:pPr>
        <w:pStyle w:val="berschrift4"/>
        <w:rPr>
          <w:szCs w:val="22"/>
        </w:rPr>
      </w:pPr>
      <w:bookmarkStart w:id="26" w:name="_Toc507516420"/>
      <w:r>
        <w:rPr>
          <w:szCs w:val="22"/>
        </w:rPr>
        <w:t>Gleichstellung</w:t>
      </w:r>
      <w:r w:rsidR="006457D3">
        <w:rPr>
          <w:szCs w:val="22"/>
        </w:rPr>
        <w:t xml:space="preserve"> Abrechnungs- und QS-Träger</w:t>
      </w:r>
      <w:bookmarkEnd w:id="26"/>
    </w:p>
    <w:p w:rsidR="006457D3" w:rsidRDefault="006457D3" w:rsidP="006457D3">
      <w:r>
        <w:t xml:space="preserve">Siehe </w:t>
      </w:r>
      <w:r w:rsidR="0095727B">
        <w:rPr>
          <w:szCs w:val="22"/>
        </w:rPr>
        <w:t>[ANF0201.04.01],</w:t>
      </w:r>
      <w:r>
        <w:t xml:space="preserve"> </w:t>
      </w:r>
      <w:r w:rsidRPr="006457D3">
        <w:t>[ANF0301.01</w:t>
      </w:r>
      <w:r>
        <w:t>.01</w:t>
      </w:r>
      <w:r w:rsidRPr="006457D3">
        <w:t>]</w:t>
      </w:r>
      <w:r>
        <w:t xml:space="preserve">, </w:t>
      </w:r>
      <w:hyperlink r:id="rId22" w:history="1">
        <w:r w:rsidRPr="006457D3">
          <w:rPr>
            <w:rStyle w:val="Hyperlink"/>
          </w:rPr>
          <w:t>KFOQSDB-80</w:t>
        </w:r>
      </w:hyperlink>
      <w:r>
        <w:t>:</w:t>
      </w:r>
    </w:p>
    <w:p w:rsidR="006457D3" w:rsidRPr="006457D3" w:rsidRDefault="006457D3" w:rsidP="006457D3">
      <w:r>
        <w:t>Ab der Version 1.3 wird bei der Neuanlage eines Datensatzes der Trägercode des Abrechnungszuständigen Trägers mit dem des QS-Trägers gleichgesetzt. Beim Import wird ein Datensatz abgelehnt, bei dem diese beiden Werte ungleich sind.</w:t>
      </w:r>
    </w:p>
    <w:p w:rsidR="003F0614" w:rsidRDefault="003F0614" w:rsidP="00E66FCB">
      <w:pPr>
        <w:pStyle w:val="berschrift4"/>
      </w:pPr>
      <w:bookmarkStart w:id="27" w:name="_Toc507516421"/>
      <w:r>
        <w:t>Partnerart je Fall</w:t>
      </w:r>
      <w:bookmarkEnd w:id="27"/>
    </w:p>
    <w:p w:rsidR="003F0614" w:rsidRDefault="003F0614" w:rsidP="003F0614">
      <w:r>
        <w:t>Siehe [ANF0301.02.01], [</w:t>
      </w:r>
      <w:r w:rsidRPr="003F0614">
        <w:t>ANF0301.04.06]</w:t>
      </w:r>
      <w:r>
        <w:t>.</w:t>
      </w:r>
    </w:p>
    <w:p w:rsidR="003F0614" w:rsidRDefault="003F0614" w:rsidP="003F0614">
      <w:r>
        <w:t>Ab der Version 1.3 wird die Partnerart („VP“/“WB“ für „Vertragspartner“ oder „</w:t>
      </w:r>
      <w:proofErr w:type="spellStart"/>
      <w:r>
        <w:t>Wahlbehandler</w:t>
      </w:r>
      <w:proofErr w:type="spellEnd"/>
      <w:r>
        <w:t>“) pro Fall gespeichert und nicht mehr fix mit dem LE-Partner.</w:t>
      </w:r>
    </w:p>
    <w:p w:rsidR="004A6132" w:rsidRDefault="004A6132" w:rsidP="004A6132">
      <w:pPr>
        <w:pStyle w:val="berschrift4"/>
      </w:pPr>
      <w:bookmarkStart w:id="28" w:name="_Toc507516422"/>
      <w:r>
        <w:t>Wert „</w:t>
      </w:r>
      <w:r w:rsidRPr="004A6132">
        <w:t>nicht Österreich</w:t>
      </w:r>
      <w:r>
        <w:t>“ für Bundesland</w:t>
      </w:r>
      <w:bookmarkEnd w:id="28"/>
    </w:p>
    <w:p w:rsidR="004A6132" w:rsidRDefault="004A6132" w:rsidP="004A6132">
      <w:r>
        <w:t xml:space="preserve">Siehe [ANF0301.02.05], </w:t>
      </w:r>
      <w:hyperlink r:id="rId23" w:history="1">
        <w:r w:rsidRPr="004A6132">
          <w:rPr>
            <w:rStyle w:val="Hyperlink"/>
          </w:rPr>
          <w:t>KFOQSDB-79</w:t>
        </w:r>
      </w:hyperlink>
      <w:r>
        <w:t>.</w:t>
      </w:r>
    </w:p>
    <w:p w:rsidR="004A6132" w:rsidRDefault="004A6132" w:rsidP="004A6132">
      <w:r>
        <w:t>Ab der Version 1.3 ist es möglich für das Bundesland des Leistungserbringers auch den Wert „nicht Österreich“ für Leistungserbringer, die nicht in Österreich sind, auszuwählen</w:t>
      </w:r>
      <w:r w:rsidR="006C6E63">
        <w:t>.</w:t>
      </w:r>
    </w:p>
    <w:p w:rsidR="00C1210E" w:rsidRDefault="00C1210E" w:rsidP="00C1210E">
      <w:pPr>
        <w:pStyle w:val="berschrift4"/>
      </w:pPr>
      <w:bookmarkStart w:id="29" w:name="_Toc507516423"/>
      <w:r>
        <w:t>Erfassung Staat des Leistungserbringers</w:t>
      </w:r>
      <w:bookmarkEnd w:id="29"/>
    </w:p>
    <w:p w:rsidR="00C1210E" w:rsidRDefault="00C1210E" w:rsidP="00C1210E">
      <w:r>
        <w:t xml:space="preserve">Siehe [ANF0301.02.07], </w:t>
      </w:r>
      <w:hyperlink r:id="rId24" w:history="1">
        <w:r w:rsidRPr="00C1210E">
          <w:rPr>
            <w:rStyle w:val="Hyperlink"/>
          </w:rPr>
          <w:t>KFOQSDB-84</w:t>
        </w:r>
      </w:hyperlink>
      <w:r>
        <w:t>.</w:t>
      </w:r>
    </w:p>
    <w:p w:rsidR="00C1210E" w:rsidRPr="00C1210E" w:rsidRDefault="00C1210E" w:rsidP="00C1210E">
      <w:r>
        <w:t xml:space="preserve">Ab Version 1.3 muss der Staat des </w:t>
      </w:r>
      <w:r w:rsidR="006C6E63">
        <w:t>Leistungserbringers in Form des</w:t>
      </w:r>
      <w:r>
        <w:t xml:space="preserve"> 2-stelligen Staatencodes lt. ISO-ALPHA2 erfasst werden.</w:t>
      </w:r>
      <w:r w:rsidR="006C6E63" w:rsidRPr="006C6E63">
        <w:t xml:space="preserve"> </w:t>
      </w:r>
      <w:r w:rsidR="006C6E63">
        <w:t>Voreingestellt ist „AT“ für Österreich.</w:t>
      </w:r>
    </w:p>
    <w:p w:rsidR="0027719A" w:rsidRDefault="0027719A" w:rsidP="00E66FCB">
      <w:pPr>
        <w:pStyle w:val="berschrift4"/>
      </w:pPr>
      <w:bookmarkStart w:id="30" w:name="_Toc507516424"/>
      <w:r>
        <w:t>BTNR als Patienten-</w:t>
      </w:r>
      <w:proofErr w:type="spellStart"/>
      <w:r>
        <w:t>Identifikator</w:t>
      </w:r>
      <w:bookmarkEnd w:id="30"/>
      <w:proofErr w:type="spellEnd"/>
    </w:p>
    <w:p w:rsidR="0095727B" w:rsidRDefault="0095727B" w:rsidP="0027719A">
      <w:r>
        <w:t>Siehe [ANF030103.01].</w:t>
      </w:r>
    </w:p>
    <w:p w:rsidR="0027719A" w:rsidRDefault="0027719A" w:rsidP="0027719A">
      <w:r>
        <w:t xml:space="preserve">Ab der Version 1.3 wird zusätzlich zu einer gültigen Versicherungsnummer (VSNR) zur </w:t>
      </w:r>
      <w:proofErr w:type="spellStart"/>
      <w:r>
        <w:t>Idenitifikation</w:t>
      </w:r>
      <w:proofErr w:type="spellEnd"/>
      <w:r>
        <w:t xml:space="preserve"> des Patienten auch eine </w:t>
      </w:r>
      <w:proofErr w:type="spellStart"/>
      <w:r>
        <w:t>Betreutennummer</w:t>
      </w:r>
      <w:proofErr w:type="spellEnd"/>
      <w:r>
        <w:t xml:space="preserve"> (BTNR) akzeptiert.</w:t>
      </w:r>
      <w:r w:rsidR="00E81063">
        <w:t xml:space="preserve"> Die BTNR wird nach denselben Regeln wie eine VSNR geprüft, der Unterschied ist, dass eine BTNR mit einer führenden „0“ beginnt (Die Konvention wird durch die Vergabe in ZPV durchgesetzt).</w:t>
      </w:r>
    </w:p>
    <w:p w:rsidR="0027719A" w:rsidRDefault="0027719A" w:rsidP="0027719A">
      <w:pPr>
        <w:pStyle w:val="berschrift4"/>
      </w:pPr>
      <w:bookmarkStart w:id="31" w:name="_Toc507516425"/>
      <w:r>
        <w:t>Prüfung der VSNR und BTNR</w:t>
      </w:r>
      <w:bookmarkEnd w:id="31"/>
    </w:p>
    <w:p w:rsidR="0095727B" w:rsidRDefault="0095727B" w:rsidP="0027719A">
      <w:r>
        <w:t>Siehe [ANF030103.01].</w:t>
      </w:r>
    </w:p>
    <w:p w:rsidR="0027719A" w:rsidRDefault="0027719A" w:rsidP="0027719A">
      <w:r>
        <w:t>Ab V 1.3 wird bei der Eingabe und beim Import eine VSNR oder eine BTNR nach den Regeln für diese geprüft und im Fehlerfall abgelehnt.</w:t>
      </w:r>
    </w:p>
    <w:p w:rsidR="00EC0FC5" w:rsidRDefault="00EC0FC5" w:rsidP="00EC0FC5">
      <w:pPr>
        <w:pStyle w:val="berschrift4"/>
      </w:pPr>
      <w:bookmarkStart w:id="32" w:name="_Toc507516426"/>
      <w:r>
        <w:t>Prüfung von Datumswerten</w:t>
      </w:r>
      <w:bookmarkEnd w:id="32"/>
    </w:p>
    <w:p w:rsidR="00EC0FC5" w:rsidRDefault="00EC0FC5" w:rsidP="00EC0FC5">
      <w:r>
        <w:t>Siehe [ANF0301.04.03], [ANF0301.04.05], [ANF030</w:t>
      </w:r>
      <w:r w:rsidR="004A6132">
        <w:t xml:space="preserve">1.05.02.02], [ANF0301.05.02.06], </w:t>
      </w:r>
      <w:hyperlink r:id="rId25" w:history="1">
        <w:r w:rsidR="004A6132" w:rsidRPr="004A6132">
          <w:rPr>
            <w:rStyle w:val="Hyperlink"/>
          </w:rPr>
          <w:t>KFOQSDB-83</w:t>
        </w:r>
      </w:hyperlink>
      <w:r w:rsidR="00C1210E">
        <w:t xml:space="preserve">, </w:t>
      </w:r>
      <w:hyperlink r:id="rId26" w:history="1">
        <w:r w:rsidR="00C1210E" w:rsidRPr="00C1210E">
          <w:rPr>
            <w:rStyle w:val="Hyperlink"/>
          </w:rPr>
          <w:t>KFOQSDB-80</w:t>
        </w:r>
      </w:hyperlink>
      <w:r w:rsidR="004A6132">
        <w:t>.</w:t>
      </w:r>
    </w:p>
    <w:p w:rsidR="00EC0FC5" w:rsidRDefault="00EC0FC5" w:rsidP="00EC0FC5">
      <w:r>
        <w:lastRenderedPageBreak/>
        <w:t>Alle Datumswerte werden geprüft:</w:t>
      </w:r>
    </w:p>
    <w:p w:rsidR="00EC0FC5" w:rsidRDefault="00EC0FC5" w:rsidP="00EC0FC5">
      <w:pPr>
        <w:pStyle w:val="Listenabsatz"/>
        <w:numPr>
          <w:ilvl w:val="0"/>
          <w:numId w:val="6"/>
        </w:numPr>
      </w:pPr>
      <w:r>
        <w:t>Auf korrektes Format für ein Datum „JJJJ.MM.TT“</w:t>
      </w:r>
    </w:p>
    <w:p w:rsidR="00EC0FC5" w:rsidRDefault="00EC0FC5" w:rsidP="00EC0FC5">
      <w:pPr>
        <w:pStyle w:val="Listenabsatz"/>
        <w:numPr>
          <w:ilvl w:val="0"/>
          <w:numId w:val="6"/>
        </w:numPr>
      </w:pPr>
      <w:r>
        <w:t>Auf valide Datumswerte:</w:t>
      </w:r>
    </w:p>
    <w:p w:rsidR="00EC0FC5" w:rsidRDefault="00EC0FC5" w:rsidP="00EC0FC5">
      <w:pPr>
        <w:pStyle w:val="Listenabsatz"/>
        <w:numPr>
          <w:ilvl w:val="1"/>
          <w:numId w:val="6"/>
        </w:numPr>
      </w:pPr>
      <w:r>
        <w:t>TT: 01..28/29/30/31,</w:t>
      </w:r>
    </w:p>
    <w:p w:rsidR="00EC0FC5" w:rsidRDefault="00EC0FC5" w:rsidP="00EC0FC5">
      <w:pPr>
        <w:pStyle w:val="Listenabsatz"/>
        <w:numPr>
          <w:ilvl w:val="1"/>
          <w:numId w:val="6"/>
        </w:numPr>
      </w:pPr>
      <w:r>
        <w:t>MM: 01 und 12,</w:t>
      </w:r>
    </w:p>
    <w:p w:rsidR="00EC0FC5" w:rsidRDefault="00EC0FC5" w:rsidP="00EC0FC5">
      <w:pPr>
        <w:pStyle w:val="Listenabsatz"/>
        <w:numPr>
          <w:ilvl w:val="1"/>
          <w:numId w:val="6"/>
        </w:numPr>
      </w:pPr>
      <w:r>
        <w:t>JJJJ: 1900..9999</w:t>
      </w:r>
    </w:p>
    <w:p w:rsidR="00EC0FC5" w:rsidRDefault="004A6132" w:rsidP="00EC0FC5">
      <w:pPr>
        <w:pStyle w:val="Listenabsatz"/>
        <w:numPr>
          <w:ilvl w:val="0"/>
          <w:numId w:val="6"/>
        </w:numPr>
      </w:pPr>
      <w:r>
        <w:t xml:space="preserve">Behandlungsende muss </w:t>
      </w:r>
      <w:r w:rsidR="00EC0FC5">
        <w:t>nach Behandlungsbeginn liegen</w:t>
      </w:r>
      <w:r>
        <w:t xml:space="preserve"> oder zumindest am gleichen Tag sein</w:t>
      </w:r>
    </w:p>
    <w:p w:rsidR="00C1210E" w:rsidRDefault="00C1210E" w:rsidP="00EC0FC5">
      <w:pPr>
        <w:pStyle w:val="Listenabsatz"/>
        <w:numPr>
          <w:ilvl w:val="0"/>
          <w:numId w:val="6"/>
        </w:numPr>
      </w:pPr>
      <w:r>
        <w:t>„Feststellungsdatum Indikation LE“ und „IOTN Feststellungsdatum LE“ müssen gleich sein. Bei der Eingabe wird bei Eingabe/Änderung eines Wertes auch der andere befüllt.</w:t>
      </w:r>
    </w:p>
    <w:p w:rsidR="00C1210E" w:rsidRPr="00EC0FC5" w:rsidRDefault="00C1210E" w:rsidP="00EC0FC5">
      <w:pPr>
        <w:pStyle w:val="Listenabsatz"/>
        <w:numPr>
          <w:ilvl w:val="0"/>
          <w:numId w:val="6"/>
        </w:numPr>
      </w:pPr>
      <w:r>
        <w:t>„Feststellungsdatum Indikation QS“ und „IOTN Feststellungsdatum QS“ müssen gleich sein. Bei der Eingabe wird bei Eingabe/Änderung eines Wertes auch der andere befüllt.</w:t>
      </w:r>
    </w:p>
    <w:p w:rsidR="0095727B" w:rsidRDefault="0095727B" w:rsidP="00E66FCB">
      <w:pPr>
        <w:pStyle w:val="berschrift4"/>
      </w:pPr>
      <w:bookmarkStart w:id="33" w:name="_Toc507516427"/>
      <w:r>
        <w:t>Indikation „x“ erlaubt</w:t>
      </w:r>
      <w:bookmarkEnd w:id="33"/>
    </w:p>
    <w:p w:rsidR="0095727B" w:rsidRDefault="0095727B" w:rsidP="0095727B">
      <w:r>
        <w:t>Siehe [ANF0301.05.02.01], [ANF0301.05.023].</w:t>
      </w:r>
    </w:p>
    <w:p w:rsidR="0095727B" w:rsidRDefault="0095727B" w:rsidP="0095727B">
      <w:r>
        <w:t>Ab der Version 3 ist der Wert „x“ für die „Indikation“ (erfasst bei Leistungsart „IB“) erlaubt (zusätzlich zu den bisher zulässigen Werten a</w:t>
      </w:r>
      <w:proofErr w:type="gramStart"/>
      <w:r>
        <w:t>..</w:t>
      </w:r>
      <w:proofErr w:type="spellStart"/>
      <w:proofErr w:type="gramEnd"/>
      <w:r>
        <w:t>m,z,y</w:t>
      </w:r>
      <w:proofErr w:type="spellEnd"/>
      <w:r>
        <w:t>)</w:t>
      </w:r>
    </w:p>
    <w:p w:rsidR="003F0614" w:rsidRDefault="003F0614" w:rsidP="003F0614">
      <w:pPr>
        <w:pStyle w:val="berschrift4"/>
      </w:pPr>
      <w:bookmarkStart w:id="34" w:name="_Toc507516428"/>
      <w:r>
        <w:t>PAR-Index Erfassung auch bei Behandlungsabbruch</w:t>
      </w:r>
      <w:bookmarkEnd w:id="34"/>
    </w:p>
    <w:p w:rsidR="003F0614" w:rsidRDefault="00D64CCA" w:rsidP="003F0614">
      <w:r>
        <w:t xml:space="preserve">Siehe </w:t>
      </w:r>
      <w:r w:rsidR="003F0614" w:rsidRPr="003F0614">
        <w:t>[ANF0301.05.03</w:t>
      </w:r>
      <w:r w:rsidR="003F0614">
        <w:t>.01</w:t>
      </w:r>
      <w:r w:rsidR="003F0614" w:rsidRPr="003F0614">
        <w:t>]</w:t>
      </w:r>
      <w:r w:rsidR="003F0614">
        <w:t xml:space="preserve">, </w:t>
      </w:r>
      <w:r w:rsidR="003F0614" w:rsidRPr="003F0614">
        <w:t>[ANF0301.05.03</w:t>
      </w:r>
      <w:r w:rsidR="003F0614">
        <w:t>.03</w:t>
      </w:r>
      <w:r w:rsidR="003F0614" w:rsidRPr="003F0614">
        <w:t xml:space="preserve">]  </w:t>
      </w:r>
      <w:hyperlink r:id="rId27" w:history="1">
        <w:r w:rsidR="003F0614" w:rsidRPr="003F0614">
          <w:rPr>
            <w:rStyle w:val="Hyperlink"/>
          </w:rPr>
          <w:t>KFOQSDB-78</w:t>
        </w:r>
      </w:hyperlink>
      <w:r w:rsidR="003F0614">
        <w:t>.</w:t>
      </w:r>
    </w:p>
    <w:p w:rsidR="003F0614" w:rsidRPr="003F0614" w:rsidRDefault="003F0614" w:rsidP="003F0614">
      <w:r>
        <w:t>Ab der Version 1.3 ist es möglich, auch bei einem Behandlungsabbruch einen PAR-Index zu erfassen.</w:t>
      </w:r>
      <w:r w:rsidR="0007424E">
        <w:t xml:space="preserve"> Beim Erfassen des Endes einer Behandlung ist die Angabe des PAR-Index verpflichtend.</w:t>
      </w:r>
    </w:p>
    <w:p w:rsidR="002C342F" w:rsidRDefault="002C342F" w:rsidP="00E66FCB">
      <w:pPr>
        <w:pStyle w:val="berschrift4"/>
      </w:pPr>
      <w:bookmarkStart w:id="35" w:name="_Toc507516429"/>
      <w:r>
        <w:t>Ablehnen des Imports bei fehlerhaften Datensätzen</w:t>
      </w:r>
      <w:bookmarkEnd w:id="35"/>
    </w:p>
    <w:p w:rsidR="00506915" w:rsidRDefault="00506915" w:rsidP="002C342F">
      <w:r>
        <w:t xml:space="preserve">Siehe </w:t>
      </w:r>
      <w:r w:rsidRPr="00506915">
        <w:t>[ANF060401]</w:t>
      </w:r>
      <w:r>
        <w:t>.</w:t>
      </w:r>
    </w:p>
    <w:p w:rsidR="002C342F" w:rsidRDefault="002C342F" w:rsidP="002C342F">
      <w:r>
        <w:t>Ab der Version 1.3 wird bei Auftreten eines Fehlers in einem importierten Datensatz die gesamte Datei nicht importiert.</w:t>
      </w:r>
      <w:r w:rsidR="006457D3">
        <w:t xml:space="preserve"> Alle Datensätze im Import-Datenbestand werden jedoch geprüft und alle Fehlermeldungen angezeigt. Damit können alle Fehler in einem Zyklus verbessert werden und ein Neu-Import vorgenommen werden.</w:t>
      </w:r>
    </w:p>
    <w:p w:rsidR="002C342F" w:rsidRDefault="002C342F" w:rsidP="002C342F">
      <w:pPr>
        <w:pStyle w:val="berschrift4"/>
      </w:pPr>
      <w:bookmarkStart w:id="36" w:name="_Toc507516430"/>
      <w:r>
        <w:t>Gleichartige Prüfung bei GUI-Eingabe und Import</w:t>
      </w:r>
      <w:bookmarkEnd w:id="36"/>
    </w:p>
    <w:p w:rsidR="002C342F" w:rsidRDefault="002C342F" w:rsidP="002C342F">
      <w:r>
        <w:t>Siehe auch</w:t>
      </w:r>
      <w:r w:rsidR="00D64CCA">
        <w:t xml:space="preserve"> [ANF0602],</w:t>
      </w:r>
      <w:r>
        <w:t xml:space="preserve"> </w:t>
      </w:r>
      <w:hyperlink r:id="rId28" w:history="1">
        <w:r w:rsidRPr="002C342F">
          <w:rPr>
            <w:rStyle w:val="Hyperlink"/>
          </w:rPr>
          <w:t>KFOQSDB-67</w:t>
        </w:r>
      </w:hyperlink>
      <w:r>
        <w:t>:</w:t>
      </w:r>
    </w:p>
    <w:p w:rsidR="002C342F" w:rsidRPr="002C342F" w:rsidRDefault="002C342F" w:rsidP="002C342F">
      <w:r>
        <w:t>Ab der Version 1.3 werden beim Import dieselben Prüfungen wie bei der Neuanlage oder dem Bearbeiten eines Datensatzes vorgenommen.</w:t>
      </w:r>
    </w:p>
    <w:p w:rsidR="00E66FCB" w:rsidRDefault="00E66FCB" w:rsidP="00E66FCB">
      <w:pPr>
        <w:pStyle w:val="berschrift4"/>
      </w:pPr>
      <w:bookmarkStart w:id="37" w:name="_Ref503770852"/>
      <w:bookmarkStart w:id="38" w:name="_Ref503770863"/>
      <w:bookmarkStart w:id="39" w:name="_Ref503770874"/>
      <w:bookmarkStart w:id="40" w:name="_Ref503770914"/>
      <w:bookmarkStart w:id="41" w:name="_Toc507516431"/>
      <w:r>
        <w:t>Importieren von „Anfang“- und „Ende“-Datensätzen</w:t>
      </w:r>
      <w:bookmarkEnd w:id="37"/>
      <w:bookmarkEnd w:id="38"/>
      <w:bookmarkEnd w:id="39"/>
      <w:bookmarkEnd w:id="40"/>
      <w:bookmarkEnd w:id="41"/>
    </w:p>
    <w:p w:rsidR="00506915" w:rsidRDefault="00506915" w:rsidP="00E66FCB">
      <w:r>
        <w:t>Siehe [ANF0606].</w:t>
      </w:r>
    </w:p>
    <w:p w:rsidR="00E66FCB" w:rsidRDefault="00E66FCB" w:rsidP="00E66FCB">
      <w:r>
        <w:t xml:space="preserve">Ab der Version 1.3 können über die Import-Funktion </w:t>
      </w:r>
      <w:r w:rsidR="00397909">
        <w:t>2 verschiedene Arten von Dat</w:t>
      </w:r>
      <w:r w:rsidR="00506915">
        <w:t>e</w:t>
      </w:r>
      <w:r w:rsidR="00397909">
        <w:t>nsätzen importiert werden. Diese werden durch eine zusätzliche Spalte im Import-Datenbestand mit dem Namen „Satzart“ identifiziert:</w:t>
      </w:r>
    </w:p>
    <w:p w:rsidR="00397909" w:rsidRDefault="00397909" w:rsidP="00397909">
      <w:pPr>
        <w:pStyle w:val="Listenabsatz"/>
        <w:numPr>
          <w:ilvl w:val="0"/>
          <w:numId w:val="5"/>
        </w:numPr>
        <w:jc w:val="left"/>
      </w:pPr>
      <w:r>
        <w:t>Satzart „A“ – „Anfang“ oder „Anlage“</w:t>
      </w:r>
      <w:r>
        <w:br/>
        <w:t>der Import eines solchen Datensatzes entspricht der Aktion „Neuen Datensatz anlegen“</w:t>
      </w:r>
    </w:p>
    <w:p w:rsidR="00885633" w:rsidRDefault="00397909" w:rsidP="00397909">
      <w:pPr>
        <w:pStyle w:val="Listenabsatz"/>
        <w:numPr>
          <w:ilvl w:val="0"/>
          <w:numId w:val="5"/>
        </w:numPr>
        <w:jc w:val="left"/>
      </w:pPr>
      <w:r>
        <w:lastRenderedPageBreak/>
        <w:t>Satzart „E“ – „Ende“ oder „Eintrag bearbeiten“</w:t>
      </w:r>
      <w:r>
        <w:br/>
        <w:t>der Import eines solchen Datensatzes entspricht der Aktion „Eintrag bearbeiten“</w:t>
      </w:r>
    </w:p>
    <w:p w:rsidR="00B82E0F" w:rsidRDefault="00B82E0F" w:rsidP="00B82E0F">
      <w:pPr>
        <w:jc w:val="left"/>
      </w:pPr>
      <w:r>
        <w:t>Abhängig von der Satzart müssen bestimmte Datenfelder im Import-Datensatz vorhanden sein bzw. dürfen nicht vorhanden sein. Dies sind dieselben Regeln, die auch bei der manuellen Eingabe gelten.</w:t>
      </w:r>
    </w:p>
    <w:p w:rsidR="00397909" w:rsidRPr="00397909" w:rsidRDefault="00B82E0F" w:rsidP="005B020E">
      <w:pPr>
        <w:jc w:val="left"/>
      </w:pPr>
      <w:r>
        <w:t>(</w:t>
      </w:r>
      <w:hyperlink r:id="rId29" w:history="1">
        <w:r w:rsidRPr="00B82E0F">
          <w:rPr>
            <w:rStyle w:val="Hyperlink"/>
          </w:rPr>
          <w:t>KFOQSDB-85</w:t>
        </w:r>
      </w:hyperlink>
      <w:r>
        <w:t>) Auf der Seite „Daten Importieren“ kann auch eine Beispiel-CSV-Datei abgerufen werden, die alle Import-Datenfelder mit den richtig</w:t>
      </w:r>
      <w:r w:rsidR="000710BC">
        <w:t>en Namen, die von der Import-Fu</w:t>
      </w:r>
      <w:r>
        <w:t>nktion benötigt werden, als Kopfzeile enthält. Diese Datei wird immer automatisch erzeugt und entspricht daher immer dem jeweiligen Stand des in der Applikation geltenden Import-Formats.</w:t>
      </w:r>
    </w:p>
    <w:p w:rsidR="00A41623" w:rsidRDefault="00056455" w:rsidP="00885633">
      <w:pPr>
        <w:pStyle w:val="berschrift2"/>
      </w:pPr>
      <w:bookmarkStart w:id="42" w:name="_Toc507516432"/>
      <w:bookmarkEnd w:id="20"/>
      <w:bookmarkEnd w:id="21"/>
      <w:r>
        <w:t>Sonstiges</w:t>
      </w:r>
      <w:bookmarkEnd w:id="42"/>
    </w:p>
    <w:p w:rsidR="00D73228" w:rsidRPr="00D73228" w:rsidRDefault="00506915" w:rsidP="00885633">
      <w:r w:rsidRPr="00D73228">
        <w:t>Anmerkung: (siehe auch „</w:t>
      </w:r>
      <w:r w:rsidRPr="00D73228">
        <w:fldChar w:fldCharType="begin"/>
      </w:r>
      <w:r w:rsidRPr="00D73228">
        <w:instrText xml:space="preserve"> REF _Ref503770914 \h </w:instrText>
      </w:r>
      <w:r w:rsidR="00D73228" w:rsidRPr="00D73228">
        <w:instrText xml:space="preserve"> \* MERGEFORMAT </w:instrText>
      </w:r>
      <w:r w:rsidRPr="00D73228">
        <w:fldChar w:fldCharType="separate"/>
      </w:r>
      <w:r w:rsidR="005B6033">
        <w:t>Importieren von „Anfang“- und „Ende“-Datensätzen</w:t>
      </w:r>
      <w:r w:rsidRPr="00D73228">
        <w:fldChar w:fldCharType="end"/>
      </w:r>
      <w:r w:rsidR="00D73228" w:rsidRPr="00D73228">
        <w:t>“): Durch</w:t>
      </w:r>
    </w:p>
    <w:p w:rsidR="00885633" w:rsidRPr="00D73228" w:rsidRDefault="00506915" w:rsidP="00D73228">
      <w:pPr>
        <w:pStyle w:val="Listenabsatz"/>
        <w:numPr>
          <w:ilvl w:val="0"/>
          <w:numId w:val="7"/>
        </w:numPr>
      </w:pPr>
      <w:r w:rsidRPr="00D73228">
        <w:t xml:space="preserve">die </w:t>
      </w:r>
      <w:r w:rsidR="00D73228" w:rsidRPr="00D73228">
        <w:t>Möglichkeit, „</w:t>
      </w:r>
      <w:proofErr w:type="spellStart"/>
      <w:r w:rsidR="00D73228" w:rsidRPr="00D73228">
        <w:t>A“nfang</w:t>
      </w:r>
      <w:proofErr w:type="spellEnd"/>
      <w:r w:rsidR="00D73228" w:rsidRPr="00D73228">
        <w:t xml:space="preserve"> und „</w:t>
      </w:r>
      <w:proofErr w:type="spellStart"/>
      <w:r w:rsidR="00D73228" w:rsidRPr="00D73228">
        <w:t>E“nde</w:t>
      </w:r>
      <w:proofErr w:type="spellEnd"/>
      <w:r w:rsidR="00D73228" w:rsidRPr="00D73228">
        <w:t>-Datensätze zu importieren [ANF0606]</w:t>
      </w:r>
    </w:p>
    <w:p w:rsidR="00D73228" w:rsidRPr="00D73228" w:rsidRDefault="00D73228" w:rsidP="00D73228">
      <w:pPr>
        <w:pStyle w:val="Listenabsatz"/>
        <w:numPr>
          <w:ilvl w:val="0"/>
          <w:numId w:val="7"/>
        </w:numPr>
      </w:pPr>
      <w:r w:rsidRPr="00D73228">
        <w:t>das neue Datenfeld „LE Staatencode“ [ANF0301.02.07]</w:t>
      </w:r>
    </w:p>
    <w:p w:rsidR="00D73228" w:rsidRPr="00D73228" w:rsidRDefault="00D73228" w:rsidP="00D73228">
      <w:r w:rsidRPr="00D73228">
        <w:t>hat sich auch die Notwendigkeit ergeben, das Datenformat der Import-Schnittstelle zu ändern. Die Felder:</w:t>
      </w:r>
    </w:p>
    <w:p w:rsidR="00D73228" w:rsidRPr="00D73228" w:rsidRDefault="00D73228" w:rsidP="00D73228">
      <w:pPr>
        <w:pStyle w:val="Listenabsatz"/>
        <w:numPr>
          <w:ilvl w:val="0"/>
          <w:numId w:val="8"/>
        </w:numPr>
      </w:pPr>
      <w:r w:rsidRPr="00D73228">
        <w:t>Satzart und</w:t>
      </w:r>
    </w:p>
    <w:p w:rsidR="00D73228" w:rsidRPr="00D73228" w:rsidRDefault="00D73228" w:rsidP="00D73228">
      <w:pPr>
        <w:pStyle w:val="Listenabsatz"/>
        <w:numPr>
          <w:ilvl w:val="0"/>
          <w:numId w:val="8"/>
        </w:numPr>
      </w:pPr>
      <w:proofErr w:type="spellStart"/>
      <w:r w:rsidRPr="00D73228">
        <w:t>Laendercode</w:t>
      </w:r>
      <w:proofErr w:type="spellEnd"/>
    </w:p>
    <w:p w:rsidR="00D73228" w:rsidRPr="00D73228" w:rsidRDefault="00D73228" w:rsidP="00D73228">
      <w:r w:rsidRPr="00D73228">
        <w:t>Sind hinzugekommen. Eine aktuelle Vorlage für die Import-Dateien kann jederzeit von der Import-Seite der KFOQSDB heruntergeladen werden.</w:t>
      </w:r>
    </w:p>
    <w:p w:rsidR="00D73228" w:rsidRDefault="00D73228" w:rsidP="00D73228">
      <w:r w:rsidRPr="00D73228">
        <w:t>Eine Tabelle mit den Spalten in der Import-Datei und ihrer Bedeutung bzw. wann sie gefüllt sein müssen oder nicht sein dürfen, wurde im Benutzerhandbuch aufgenommen.</w:t>
      </w:r>
      <w:r w:rsidR="00D23781">
        <w:t xml:space="preserve"> Eine Kopie davon ist im Anhang dieses Dokuments</w:t>
      </w:r>
    </w:p>
    <w:p w:rsidR="003D1079" w:rsidRDefault="003D1079" w:rsidP="003D1079">
      <w:pPr>
        <w:pStyle w:val="berschrift3"/>
      </w:pPr>
      <w:bookmarkStart w:id="43" w:name="_Toc507516433"/>
      <w:r>
        <w:t>Vorschau auf die Versionen 1.4 und 1.5</w:t>
      </w:r>
      <w:bookmarkEnd w:id="43"/>
    </w:p>
    <w:p w:rsidR="003D1079" w:rsidRDefault="003D1079" w:rsidP="003D1079">
      <w:r>
        <w:t>In den Versionen 1.4 und 1.5 werden die verbleibenden Änderungen der Anforderungsspezifikation Ausgabe 1.3 umgesetzt:</w:t>
      </w:r>
    </w:p>
    <w:p w:rsidR="003D1079" w:rsidRDefault="003D1079" w:rsidP="003D1079">
      <w:pPr>
        <w:pStyle w:val="Listenabsatz"/>
        <w:numPr>
          <w:ilvl w:val="0"/>
          <w:numId w:val="11"/>
        </w:numPr>
      </w:pPr>
      <w:r>
        <w:t>Klarstellungen in der Beschriftung und Anordnung der Eingabe-Masken-Felder</w:t>
      </w:r>
    </w:p>
    <w:p w:rsidR="003D1079" w:rsidRDefault="003D1079" w:rsidP="003D1079">
      <w:pPr>
        <w:pStyle w:val="Listenabsatz"/>
        <w:numPr>
          <w:ilvl w:val="0"/>
          <w:numId w:val="11"/>
        </w:numPr>
      </w:pPr>
      <w:r>
        <w:t xml:space="preserve">Änderungen in automatischer </w:t>
      </w:r>
      <w:proofErr w:type="spellStart"/>
      <w:r>
        <w:t>Vorbefüllung</w:t>
      </w:r>
      <w:proofErr w:type="spellEnd"/>
      <w:r>
        <w:t xml:space="preserve"> der Eingabe-Masken-Felder</w:t>
      </w:r>
    </w:p>
    <w:p w:rsidR="003D1079" w:rsidRDefault="003D1079" w:rsidP="003D1079">
      <w:pPr>
        <w:pStyle w:val="Listenabsatz"/>
        <w:numPr>
          <w:ilvl w:val="0"/>
          <w:numId w:val="11"/>
        </w:numPr>
      </w:pPr>
      <w:r>
        <w:t>Suchfunktion nach Leistungserbringer-Name</w:t>
      </w:r>
    </w:p>
    <w:p w:rsidR="003D1079" w:rsidRDefault="003D1079" w:rsidP="003D1079">
      <w:pPr>
        <w:pStyle w:val="Listenabsatz"/>
        <w:numPr>
          <w:ilvl w:val="0"/>
          <w:numId w:val="11"/>
        </w:numPr>
      </w:pPr>
      <w:proofErr w:type="spellStart"/>
      <w:r>
        <w:t>Tooltips</w:t>
      </w:r>
      <w:proofErr w:type="spellEnd"/>
      <w:r>
        <w:t xml:space="preserve"> mit Verlinkung zum Benutzerhandbuch</w:t>
      </w:r>
    </w:p>
    <w:p w:rsidR="003D1079" w:rsidRDefault="003D1079" w:rsidP="003D1079">
      <w:pPr>
        <w:pStyle w:val="Listenabsatz"/>
        <w:numPr>
          <w:ilvl w:val="0"/>
          <w:numId w:val="11"/>
        </w:numPr>
      </w:pPr>
      <w:r>
        <w:t xml:space="preserve">Eventuelle Veränderung in den Konsistenzkriterien (nach </w:t>
      </w:r>
      <w:r w:rsidR="00D23781">
        <w:t>Feedback)</w:t>
      </w:r>
    </w:p>
    <w:p w:rsidR="00D23781" w:rsidRPr="003D1079" w:rsidRDefault="00D23781" w:rsidP="003D1079">
      <w:pPr>
        <w:pStyle w:val="Listenabsatz"/>
        <w:numPr>
          <w:ilvl w:val="0"/>
          <w:numId w:val="11"/>
        </w:numPr>
      </w:pPr>
      <w:r>
        <w:t>Auswertungen</w:t>
      </w:r>
    </w:p>
    <w:p w:rsidR="00885633" w:rsidRPr="00885633" w:rsidRDefault="00885633" w:rsidP="00885633">
      <w:pPr>
        <w:rPr>
          <w:i/>
        </w:rPr>
      </w:pPr>
    </w:p>
    <w:p w:rsidR="00A41623" w:rsidRDefault="00A41623">
      <w:pPr>
        <w:sectPr w:rsidR="00A41623">
          <w:footerReference w:type="default" r:id="rId30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A41623" w:rsidRPr="004845D6" w:rsidRDefault="00A41623">
      <w:pPr>
        <w:pStyle w:val="berschrift2"/>
      </w:pPr>
      <w:bookmarkStart w:id="44" w:name="_Toc131825628"/>
      <w:bookmarkStart w:id="45" w:name="_Toc131829554"/>
      <w:bookmarkStart w:id="46" w:name="_Toc507516434"/>
      <w:r w:rsidRPr="004845D6">
        <w:lastRenderedPageBreak/>
        <w:t>Anhang</w:t>
      </w:r>
      <w:bookmarkEnd w:id="44"/>
      <w:bookmarkEnd w:id="45"/>
      <w:bookmarkEnd w:id="46"/>
    </w:p>
    <w:p w:rsidR="00A41623" w:rsidRPr="004845D6" w:rsidRDefault="00A41623">
      <w:pPr>
        <w:pStyle w:val="berschrift3"/>
        <w:spacing w:after="240"/>
      </w:pPr>
      <w:bookmarkStart w:id="47" w:name="_Toc131825629"/>
      <w:bookmarkStart w:id="48" w:name="_Toc131829555"/>
      <w:bookmarkStart w:id="49" w:name="_Toc507516435"/>
      <w:r w:rsidRPr="004845D6">
        <w:t>Glossar</w:t>
      </w:r>
      <w:bookmarkEnd w:id="47"/>
      <w:bookmarkEnd w:id="48"/>
      <w:bookmarkEnd w:id="4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4845D6" w:rsidRPr="004845D6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  <w:rPr>
                <w:b/>
              </w:rPr>
            </w:pPr>
            <w:r w:rsidRPr="004845D6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A41623" w:rsidRPr="004845D6" w:rsidRDefault="00A41623">
            <w:pPr>
              <w:pStyle w:val="Tabelle"/>
              <w:keepNext/>
              <w:rPr>
                <w:b/>
              </w:rPr>
            </w:pPr>
            <w:r w:rsidRPr="004845D6">
              <w:rPr>
                <w:b/>
              </w:rPr>
              <w:t>Begriffserläuterung</w:t>
            </w:r>
          </w:p>
        </w:tc>
      </w:tr>
      <w:tr w:rsidR="004845D6" w:rsidRPr="004845D6">
        <w:tc>
          <w:tcPr>
            <w:tcW w:w="4535" w:type="dxa"/>
            <w:tcBorders>
              <w:top w:val="single" w:sz="12" w:space="0" w:color="auto"/>
            </w:tcBorders>
          </w:tcPr>
          <w:p w:rsidR="00A41623" w:rsidRPr="004845D6" w:rsidRDefault="00D23781">
            <w:pPr>
              <w:pStyle w:val="Tabelle"/>
              <w:keepNext/>
            </w:pPr>
            <w:r>
              <w:t>KFO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41623" w:rsidRPr="004845D6" w:rsidRDefault="00D23781">
            <w:pPr>
              <w:pStyle w:val="Tabelle"/>
              <w:keepNext/>
            </w:pPr>
            <w:r>
              <w:t>Kieferorthopädische Verordnung</w:t>
            </w:r>
          </w:p>
        </w:tc>
      </w:tr>
      <w:tr w:rsidR="00D23781" w:rsidRPr="004845D6">
        <w:tc>
          <w:tcPr>
            <w:tcW w:w="4535" w:type="dxa"/>
          </w:tcPr>
          <w:p w:rsidR="00D23781" w:rsidRPr="004845D6" w:rsidRDefault="00D23781" w:rsidP="00D23781">
            <w:pPr>
              <w:pStyle w:val="Tabelle"/>
              <w:keepNext/>
            </w:pPr>
            <w:r>
              <w:t>KFOQSDB</w:t>
            </w:r>
          </w:p>
        </w:tc>
        <w:tc>
          <w:tcPr>
            <w:tcW w:w="4536" w:type="dxa"/>
          </w:tcPr>
          <w:p w:rsidR="00D23781" w:rsidRPr="004845D6" w:rsidRDefault="00D23781" w:rsidP="00D23781">
            <w:pPr>
              <w:pStyle w:val="Tabelle"/>
              <w:keepNext/>
            </w:pPr>
            <w:r>
              <w:t>Kieferorthopädische Qualitätssicherungs-Datenbank</w:t>
            </w:r>
          </w:p>
        </w:tc>
      </w:tr>
      <w:tr w:rsidR="00D23781" w:rsidRPr="004845D6">
        <w:tc>
          <w:tcPr>
            <w:tcW w:w="4535" w:type="dxa"/>
          </w:tcPr>
          <w:p w:rsidR="00D23781" w:rsidRDefault="00D23781" w:rsidP="00D23781">
            <w:pPr>
              <w:pStyle w:val="Tabelle"/>
              <w:keepNext/>
            </w:pPr>
            <w:r>
              <w:t>LE</w:t>
            </w:r>
          </w:p>
        </w:tc>
        <w:tc>
          <w:tcPr>
            <w:tcW w:w="4536" w:type="dxa"/>
          </w:tcPr>
          <w:p w:rsidR="00D23781" w:rsidRDefault="00D23781" w:rsidP="00D23781">
            <w:pPr>
              <w:pStyle w:val="Tabelle"/>
              <w:keepNext/>
            </w:pPr>
            <w:r>
              <w:t>Leistungserbringer</w:t>
            </w:r>
          </w:p>
        </w:tc>
      </w:tr>
      <w:tr w:rsidR="00D23781" w:rsidRPr="004845D6">
        <w:tc>
          <w:tcPr>
            <w:tcW w:w="4535" w:type="dxa"/>
          </w:tcPr>
          <w:p w:rsidR="00D23781" w:rsidRDefault="00D23781" w:rsidP="00D23781">
            <w:pPr>
              <w:pStyle w:val="Tabelle"/>
              <w:keepNext/>
            </w:pPr>
            <w:r>
              <w:t>VP</w:t>
            </w:r>
          </w:p>
        </w:tc>
        <w:tc>
          <w:tcPr>
            <w:tcW w:w="4536" w:type="dxa"/>
          </w:tcPr>
          <w:p w:rsidR="00D23781" w:rsidRDefault="00D23781" w:rsidP="00D23781">
            <w:pPr>
              <w:pStyle w:val="Tabelle"/>
              <w:keepNext/>
            </w:pPr>
            <w:r>
              <w:t>Vertragspartner</w:t>
            </w:r>
            <w:r>
              <w:br/>
              <w:t>Ein Leistungserbringer in einem vertraglichen Verhältnis mit der Sozialversicherung</w:t>
            </w:r>
          </w:p>
        </w:tc>
      </w:tr>
      <w:tr w:rsidR="00D23781" w:rsidRPr="004845D6">
        <w:tc>
          <w:tcPr>
            <w:tcW w:w="4535" w:type="dxa"/>
          </w:tcPr>
          <w:p w:rsidR="00D23781" w:rsidRPr="004845D6" w:rsidRDefault="00D23781" w:rsidP="00D23781">
            <w:pPr>
              <w:pStyle w:val="Tabelle"/>
              <w:keepNext/>
            </w:pPr>
            <w:r>
              <w:t>VPNR</w:t>
            </w:r>
          </w:p>
        </w:tc>
        <w:tc>
          <w:tcPr>
            <w:tcW w:w="4536" w:type="dxa"/>
          </w:tcPr>
          <w:p w:rsidR="00D23781" w:rsidRPr="004845D6" w:rsidRDefault="00D23781" w:rsidP="00D23781">
            <w:pPr>
              <w:pStyle w:val="Tabelle"/>
              <w:keepNext/>
            </w:pPr>
            <w:r>
              <w:t>Vertragspartnernummer</w:t>
            </w:r>
            <w:r>
              <w:br/>
              <w:t>6-stellige nummerische Identifikation eines Vertragspartners</w:t>
            </w:r>
            <w:r>
              <w:br/>
              <w:t>Von ZPV vergeben</w:t>
            </w:r>
          </w:p>
        </w:tc>
      </w:tr>
      <w:tr w:rsidR="00D23781" w:rsidRPr="004845D6">
        <w:tc>
          <w:tcPr>
            <w:tcW w:w="4535" w:type="dxa"/>
          </w:tcPr>
          <w:p w:rsidR="00D23781" w:rsidRPr="004845D6" w:rsidRDefault="00D23781" w:rsidP="00D23781">
            <w:pPr>
              <w:pStyle w:val="Tabelle"/>
            </w:pPr>
            <w:r>
              <w:t>VSNR</w:t>
            </w:r>
          </w:p>
        </w:tc>
        <w:tc>
          <w:tcPr>
            <w:tcW w:w="4536" w:type="dxa"/>
          </w:tcPr>
          <w:p w:rsidR="00D23781" w:rsidRPr="004845D6" w:rsidRDefault="00D23781" w:rsidP="00D23781">
            <w:pPr>
              <w:pStyle w:val="Tabelle"/>
            </w:pPr>
            <w:r>
              <w:t>Versicherungsnummer</w:t>
            </w:r>
            <w:r>
              <w:br/>
              <w:t>10-stellige nummerische Identifikation einer versicherten Person gegenüber der Sozialversicherung</w:t>
            </w:r>
            <w:r>
              <w:br/>
              <w:t>Von ZPV vergeben</w:t>
            </w:r>
          </w:p>
        </w:tc>
      </w:tr>
      <w:tr w:rsidR="00D23781" w:rsidRPr="004845D6">
        <w:tc>
          <w:tcPr>
            <w:tcW w:w="4535" w:type="dxa"/>
          </w:tcPr>
          <w:p w:rsidR="00D23781" w:rsidRDefault="00D23781" w:rsidP="00D23781">
            <w:pPr>
              <w:pStyle w:val="Tabelle"/>
            </w:pPr>
            <w:r>
              <w:t>WB</w:t>
            </w:r>
          </w:p>
        </w:tc>
        <w:tc>
          <w:tcPr>
            <w:tcW w:w="4536" w:type="dxa"/>
          </w:tcPr>
          <w:p w:rsidR="00D23781" w:rsidRDefault="00D23781" w:rsidP="00D23781">
            <w:pPr>
              <w:pStyle w:val="Tabelle"/>
            </w:pPr>
            <w:proofErr w:type="spellStart"/>
            <w:r>
              <w:t>Wahlbehandler</w:t>
            </w:r>
            <w:proofErr w:type="spellEnd"/>
            <w:r>
              <w:br/>
              <w:t>Ein Leistungserbringer, der die in Frage stehende Leistung nicht als Vertragspartner erbringt.</w:t>
            </w:r>
          </w:p>
        </w:tc>
      </w:tr>
      <w:tr w:rsidR="00D23781" w:rsidRPr="004845D6">
        <w:tc>
          <w:tcPr>
            <w:tcW w:w="4535" w:type="dxa"/>
          </w:tcPr>
          <w:p w:rsidR="00D23781" w:rsidRDefault="00D23781" w:rsidP="00D23781">
            <w:pPr>
              <w:pStyle w:val="Tabelle"/>
            </w:pPr>
            <w:r>
              <w:t>ZPV</w:t>
            </w:r>
          </w:p>
        </w:tc>
        <w:tc>
          <w:tcPr>
            <w:tcW w:w="4536" w:type="dxa"/>
          </w:tcPr>
          <w:p w:rsidR="00D23781" w:rsidRDefault="00D23781" w:rsidP="00D23781">
            <w:pPr>
              <w:pStyle w:val="Tabelle"/>
            </w:pPr>
            <w:r>
              <w:t>Zentrale Partnerverwaltung der Sozialversicherung</w:t>
            </w:r>
            <w:r>
              <w:br/>
              <w:t>Führendes System für Stammdaten von Versicherten, Dienstgebern und Leistungserbringern und deren Identifikationsdaten gegenüber der Sozialversicherung (VPNR, VSNR)</w:t>
            </w:r>
          </w:p>
        </w:tc>
      </w:tr>
    </w:tbl>
    <w:p w:rsidR="00D23781" w:rsidRDefault="00D23781" w:rsidP="00D23781">
      <w:pPr>
        <w:pStyle w:val="berschrift3"/>
        <w:sectPr w:rsidR="00D23781">
          <w:headerReference w:type="default" r:id="rId31"/>
          <w:footerReference w:type="default" r:id="rId32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8B6417" w:rsidRDefault="00D23781" w:rsidP="00D23781">
      <w:pPr>
        <w:pStyle w:val="berschrift3"/>
      </w:pPr>
      <w:bookmarkStart w:id="50" w:name="_Toc507516436"/>
      <w:r>
        <w:lastRenderedPageBreak/>
        <w:t>Gültigkeit der Import-Felder</w:t>
      </w:r>
      <w:bookmarkEnd w:id="50"/>
    </w:p>
    <w:p w:rsidR="00F01F9B" w:rsidRPr="00F01F9B" w:rsidRDefault="00F01F9B" w:rsidP="00F01F9B">
      <w:r w:rsidRPr="00F01F9B">
        <w:rPr>
          <w:noProof/>
          <w:lang w:eastAsia="de-AT"/>
        </w:rPr>
        <w:drawing>
          <wp:inline distT="0" distB="0" distL="0" distR="0">
            <wp:extent cx="9071610" cy="3920426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92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81" w:rsidRPr="00D23781" w:rsidRDefault="00D23781" w:rsidP="00D23781"/>
    <w:sectPr w:rsidR="00D23781" w:rsidRPr="00D23781" w:rsidSect="00D23781">
      <w:pgSz w:w="16838" w:h="11906" w:orient="landscape"/>
      <w:pgMar w:top="1418" w:right="1418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61" w:rsidRDefault="00CD4861">
      <w:r>
        <w:separator/>
      </w:r>
    </w:p>
  </w:endnote>
  <w:endnote w:type="continuationSeparator" w:id="0">
    <w:p w:rsidR="00CD4861" w:rsidRDefault="00C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CD4861" w:rsidRDefault="00CD486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5B6033">
      <w:t>KFOQSDB 1.3.1.0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5B6033">
      <w:t>1</w:t>
    </w:r>
    <w:r>
      <w:fldChar w:fldCharType="end"/>
    </w:r>
  </w:p>
  <w:p w:rsidR="00CD4861" w:rsidRDefault="00CD4861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5B603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5B6033">
      <w:rPr>
        <w:sz w:val="16"/>
      </w:rPr>
      <w:t>Ausgabe vom 27.02.2018</w:t>
    </w:r>
    <w:r>
      <w:rPr>
        <w:sz w:val="16"/>
      </w:rPr>
      <w:fldChar w:fldCharType="end"/>
    </w:r>
  </w:p>
  <w:p w:rsidR="00CD4861" w:rsidRDefault="00CD4861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5B6033">
      <w:rPr>
        <w:sz w:val="16"/>
      </w:rPr>
      <w:t>KFOQSDB_Releasenotes_Fachlich-1.3.1.0.docx</w:t>
    </w:r>
    <w:r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5B6033">
      <w:t>KFOQSDB 1.3.1.0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B6033">
      <w:t>i</w:t>
    </w:r>
    <w:r>
      <w:fldChar w:fldCharType="end"/>
    </w:r>
  </w:p>
  <w:p w:rsidR="00CD4861" w:rsidRDefault="00CD4861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5B603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5B6033">
      <w:rPr>
        <w:sz w:val="16"/>
      </w:rPr>
      <w:t>Ausgabe vom 27.02.2018</w:t>
    </w:r>
    <w:r>
      <w:rPr>
        <w:sz w:val="16"/>
      </w:rPr>
      <w:fldChar w:fldCharType="end"/>
    </w:r>
  </w:p>
  <w:p w:rsidR="00CD4861" w:rsidRDefault="00CD4861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5B6033">
      <w:rPr>
        <w:sz w:val="16"/>
      </w:rPr>
      <w:t>KFOQSDB_Releasenotes_Fachlich-1.3.1.0.docx</w:t>
    </w:r>
    <w:r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5B6033">
      <w:t>KFOQSDB 1.3.1.0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B6033">
      <w:t>8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5B6033">
      <w:t>10</w:t>
    </w:r>
    <w:r>
      <w:fldChar w:fldCharType="end"/>
    </w:r>
  </w:p>
  <w:p w:rsidR="00CD4861" w:rsidRDefault="00CD4861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5B603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5B6033">
      <w:rPr>
        <w:sz w:val="16"/>
      </w:rPr>
      <w:t>Ausgabe vom 27.02.2018</w:t>
    </w:r>
    <w:r>
      <w:rPr>
        <w:sz w:val="16"/>
      </w:rPr>
      <w:fldChar w:fldCharType="end"/>
    </w:r>
  </w:p>
  <w:p w:rsidR="00CD4861" w:rsidRDefault="00CD4861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5B6033">
      <w:rPr>
        <w:sz w:val="16"/>
      </w:rPr>
      <w:t>KFOQSDB_Releasenotes_Fachlich-1.3.1.0.docx</w:t>
    </w:r>
    <w:r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5B6033">
      <w:t>KFOQSDB 1.3.1.0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5B6033">
      <w:t>1</w:t>
    </w:r>
    <w:r>
      <w:fldChar w:fldCharType="end"/>
    </w:r>
  </w:p>
  <w:p w:rsidR="00CD4861" w:rsidRDefault="00CD4861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5B6033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5B6033">
      <w:rPr>
        <w:sz w:val="16"/>
      </w:rPr>
      <w:t>Ausgabe vom 27.02.2018</w:t>
    </w:r>
    <w:r>
      <w:rPr>
        <w:sz w:val="16"/>
      </w:rPr>
      <w:fldChar w:fldCharType="end"/>
    </w:r>
  </w:p>
  <w:p w:rsidR="00CD4861" w:rsidRDefault="00CD4861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5B6033">
      <w:rPr>
        <w:sz w:val="16"/>
      </w:rPr>
      <w:t>KFOQSDB_Releasenotes_Fachlich-1.3.1.0.docx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61" w:rsidRDefault="00CD4861">
      <w:r>
        <w:separator/>
      </w:r>
    </w:p>
  </w:footnote>
  <w:footnote w:type="continuationSeparator" w:id="0">
    <w:p w:rsidR="00CD4861" w:rsidRDefault="00CD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CD4861">
      <w:trPr>
        <w:cantSplit/>
      </w:trPr>
      <w:tc>
        <w:tcPr>
          <w:tcW w:w="9923" w:type="dxa"/>
        </w:tcPr>
        <w:p w:rsidR="00CD4861" w:rsidRDefault="00CD4861" w:rsidP="008E1594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CD4861" w:rsidRDefault="00CD4861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CD4861" w:rsidRDefault="00CD4861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5B6033">
      <w:t>Fachliche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61" w:rsidRDefault="00CD4861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5B6033">
      <w:t>Fachliche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CE8"/>
    <w:multiLevelType w:val="hybridMultilevel"/>
    <w:tmpl w:val="A0B4BC1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3B5730"/>
    <w:multiLevelType w:val="hybridMultilevel"/>
    <w:tmpl w:val="13F4E91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834E2"/>
    <w:multiLevelType w:val="hybridMultilevel"/>
    <w:tmpl w:val="FA1EE16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124E79"/>
    <w:multiLevelType w:val="singleLevel"/>
    <w:tmpl w:val="36EA0348"/>
    <w:lvl w:ilvl="0">
      <w:start w:val="1"/>
      <w:numFmt w:val="bullet"/>
      <w:pStyle w:val="AufzhlungPunkte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  <w:sz w:val="24"/>
      </w:rPr>
    </w:lvl>
  </w:abstractNum>
  <w:abstractNum w:abstractNumId="4" w15:restartNumberingAfterBreak="0">
    <w:nsid w:val="1AB54ACC"/>
    <w:multiLevelType w:val="hybridMultilevel"/>
    <w:tmpl w:val="7506E7B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9EC3786"/>
    <w:multiLevelType w:val="singleLevel"/>
    <w:tmpl w:val="BD5264FA"/>
    <w:lvl w:ilvl="0">
      <w:start w:val="1"/>
      <w:numFmt w:val="lowerLetter"/>
      <w:pStyle w:val="Aufzhlungabc"/>
      <w:lvlText w:val="%1)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abstractNum w:abstractNumId="7" w15:restartNumberingAfterBreak="0">
    <w:nsid w:val="5C020D66"/>
    <w:multiLevelType w:val="hybridMultilevel"/>
    <w:tmpl w:val="8A042DD4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4D468D"/>
    <w:multiLevelType w:val="hybridMultilevel"/>
    <w:tmpl w:val="94A61F4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9C3EB1"/>
    <w:multiLevelType w:val="hybridMultilevel"/>
    <w:tmpl w:val="AC801B9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E03A3E"/>
    <w:multiLevelType w:val="singleLevel"/>
    <w:tmpl w:val="9C366DEE"/>
    <w:lvl w:ilvl="0">
      <w:start w:val="1"/>
      <w:numFmt w:val="decimal"/>
      <w:pStyle w:val="Aufzhlung123"/>
      <w:lvlText w:val="%1."/>
      <w:lvlJc w:val="left"/>
      <w:pPr>
        <w:tabs>
          <w:tab w:val="num" w:pos="992"/>
        </w:tabs>
        <w:ind w:left="992" w:hanging="425"/>
      </w:pPr>
      <w:rPr>
        <w:sz w:val="24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0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FD"/>
    <w:rsid w:val="00056455"/>
    <w:rsid w:val="000710BC"/>
    <w:rsid w:val="0007424E"/>
    <w:rsid w:val="0008210F"/>
    <w:rsid w:val="000E0766"/>
    <w:rsid w:val="001402BF"/>
    <w:rsid w:val="00181EBE"/>
    <w:rsid w:val="0023386B"/>
    <w:rsid w:val="00250E8F"/>
    <w:rsid w:val="00274E7A"/>
    <w:rsid w:val="0027719A"/>
    <w:rsid w:val="002C342F"/>
    <w:rsid w:val="00301A27"/>
    <w:rsid w:val="00304CB7"/>
    <w:rsid w:val="00374E53"/>
    <w:rsid w:val="00381098"/>
    <w:rsid w:val="00397909"/>
    <w:rsid w:val="003D1079"/>
    <w:rsid w:val="003F0614"/>
    <w:rsid w:val="00444C98"/>
    <w:rsid w:val="0047646B"/>
    <w:rsid w:val="004845D6"/>
    <w:rsid w:val="004A6132"/>
    <w:rsid w:val="00506915"/>
    <w:rsid w:val="00564171"/>
    <w:rsid w:val="005922D7"/>
    <w:rsid w:val="005B020E"/>
    <w:rsid w:val="005B6033"/>
    <w:rsid w:val="006457D3"/>
    <w:rsid w:val="006C6E63"/>
    <w:rsid w:val="006D7F22"/>
    <w:rsid w:val="007337F5"/>
    <w:rsid w:val="008063CC"/>
    <w:rsid w:val="00820AFA"/>
    <w:rsid w:val="008726F2"/>
    <w:rsid w:val="00885633"/>
    <w:rsid w:val="008B6417"/>
    <w:rsid w:val="008E1594"/>
    <w:rsid w:val="0093527D"/>
    <w:rsid w:val="0095727B"/>
    <w:rsid w:val="00974CBE"/>
    <w:rsid w:val="009A45F0"/>
    <w:rsid w:val="00A41623"/>
    <w:rsid w:val="00A41954"/>
    <w:rsid w:val="00A818AE"/>
    <w:rsid w:val="00A83E9D"/>
    <w:rsid w:val="00AC774D"/>
    <w:rsid w:val="00AF0F10"/>
    <w:rsid w:val="00B20D8B"/>
    <w:rsid w:val="00B2713F"/>
    <w:rsid w:val="00B623B5"/>
    <w:rsid w:val="00B63964"/>
    <w:rsid w:val="00B82E0F"/>
    <w:rsid w:val="00B902D4"/>
    <w:rsid w:val="00B9786E"/>
    <w:rsid w:val="00BB1566"/>
    <w:rsid w:val="00BE45C8"/>
    <w:rsid w:val="00C1210E"/>
    <w:rsid w:val="00CD4861"/>
    <w:rsid w:val="00D23781"/>
    <w:rsid w:val="00D30AF4"/>
    <w:rsid w:val="00D336FD"/>
    <w:rsid w:val="00D64CCA"/>
    <w:rsid w:val="00D73228"/>
    <w:rsid w:val="00E149EE"/>
    <w:rsid w:val="00E66FCB"/>
    <w:rsid w:val="00E81063"/>
    <w:rsid w:val="00EA6822"/>
    <w:rsid w:val="00EC0FC5"/>
    <w:rsid w:val="00F01F9B"/>
    <w:rsid w:val="00F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86EE28C-5AD5-4125-9DAC-1565397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ind w:left="567"/>
      <w:jc w:val="both"/>
    </w:pPr>
    <w:rPr>
      <w:rFonts w:ascii="Arial" w:hAnsi="Arial"/>
      <w:kern w:val="12"/>
      <w:sz w:val="24"/>
      <w:lang w:val="de-AT" w:eastAsia="en-US"/>
    </w:rPr>
  </w:style>
  <w:style w:type="paragraph" w:styleId="berschrift1">
    <w:name w:val="heading 1"/>
    <w:aliases w:val="Thema"/>
    <w:next w:val="Standard"/>
    <w:qFormat/>
    <w:pPr>
      <w:keepNext/>
      <w:keepLines/>
      <w:suppressAutoHyphens/>
      <w:spacing w:after="1200"/>
      <w:jc w:val="right"/>
      <w:outlineLvl w:val="0"/>
    </w:pPr>
    <w:rPr>
      <w:rFonts w:ascii="Arial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semiHidden/>
    <w:pPr>
      <w:widowControl w:val="0"/>
      <w:shd w:val="clear" w:color="auto" w:fill="000080"/>
    </w:pPr>
    <w:rPr>
      <w:rFonts w:ascii="Tahoma" w:hAnsi="Tahoma"/>
      <w:noProof/>
      <w:lang w:val="en-GB" w:eastAsia="en-US"/>
    </w:rPr>
  </w:style>
  <w:style w:type="paragraph" w:customStyle="1" w:styleId="Aufzhlung123">
    <w:name w:val="Aufzählung 123"/>
    <w:basedOn w:val="Standard"/>
    <w:pPr>
      <w:keepLines/>
      <w:numPr>
        <w:numId w:val="2"/>
      </w:numPr>
    </w:pPr>
  </w:style>
  <w:style w:type="paragraph" w:customStyle="1" w:styleId="Aufzhlungabc">
    <w:name w:val="Aufzählung abc"/>
    <w:basedOn w:val="Standard"/>
    <w:pPr>
      <w:keepLines/>
      <w:numPr>
        <w:numId w:val="3"/>
      </w:numPr>
    </w:pPr>
  </w:style>
  <w:style w:type="paragraph" w:customStyle="1" w:styleId="AufzhlungPunkte">
    <w:name w:val="Aufzählung Punkte"/>
    <w:basedOn w:val="Standard"/>
    <w:pPr>
      <w:keepLines/>
      <w:numPr>
        <w:numId w:val="4"/>
      </w:numPr>
      <w:ind w:left="993" w:hanging="284"/>
    </w:pPr>
  </w:style>
  <w:style w:type="paragraph" w:styleId="Beschriftung">
    <w:name w:val="caption"/>
    <w:basedOn w:val="Standard"/>
    <w:next w:val="Standard"/>
    <w:qFormat/>
    <w:pPr>
      <w:keepLines/>
      <w:suppressAutoHyphens/>
      <w:spacing w:before="120"/>
      <w:jc w:val="center"/>
    </w:pPr>
  </w:style>
  <w:style w:type="paragraph" w:customStyle="1" w:styleId="Bildtext">
    <w:name w:val="Bildtext"/>
    <w:basedOn w:val="Standard"/>
    <w:pPr>
      <w:spacing w:after="0"/>
      <w:ind w:left="0"/>
    </w:pPr>
    <w:rPr>
      <w:sz w:val="20"/>
    </w:r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styleId="Kopfzeile">
    <w:name w:val="header"/>
    <w:basedOn w:val="Standard"/>
    <w:pPr>
      <w:pBdr>
        <w:bottom w:val="single" w:sz="6" w:space="3" w:color="auto"/>
      </w:pBdr>
      <w:tabs>
        <w:tab w:val="right" w:pos="9639"/>
      </w:tabs>
      <w:suppressAutoHyphens/>
      <w:spacing w:after="0"/>
      <w:ind w:left="0"/>
      <w:jc w:val="right"/>
    </w:pPr>
    <w:rPr>
      <w:noProof/>
    </w:rPr>
  </w:style>
  <w:style w:type="paragraph" w:customStyle="1" w:styleId="Tabelle">
    <w:name w:val="Tabelle"/>
    <w:basedOn w:val="Standard"/>
    <w:pPr>
      <w:keepLines/>
      <w:spacing w:before="40" w:after="40"/>
      <w:ind w:left="0"/>
      <w:jc w:val="left"/>
    </w:pPr>
  </w:style>
  <w:style w:type="paragraph" w:customStyle="1" w:styleId="berschriftZ">
    <w:name w:val="Überschrift Z"/>
    <w:basedOn w:val="berschrift4"/>
    <w:next w:val="Standard"/>
    <w:pPr>
      <w:numPr>
        <w:ilvl w:val="0"/>
        <w:numId w:val="0"/>
      </w:numPr>
      <w:tabs>
        <w:tab w:val="num" w:pos="1080"/>
      </w:tabs>
      <w:jc w:val="center"/>
      <w:outlineLvl w:val="9"/>
    </w:pPr>
  </w:style>
  <w:style w:type="paragraph" w:customStyle="1" w:styleId="Ausgabe">
    <w:name w:val="Ausgabe"/>
    <w:basedOn w:val="Standard"/>
    <w:pPr>
      <w:ind w:left="0"/>
      <w:jc w:val="right"/>
    </w:pPr>
  </w:style>
  <w:style w:type="paragraph" w:customStyle="1" w:styleId="berschriftV">
    <w:name w:val="Überschrift V"/>
    <w:basedOn w:val="berschrift2"/>
    <w:next w:val="Standard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pPr>
      <w:tabs>
        <w:tab w:val="right" w:leader="dot" w:pos="9639"/>
      </w:tabs>
      <w:spacing w:before="120" w:after="0"/>
    </w:pPr>
    <w:rPr>
      <w:noProof/>
    </w:rPr>
  </w:style>
  <w:style w:type="paragraph" w:customStyle="1" w:styleId="KBCAdresse">
    <w:name w:val="KBC Adresse"/>
    <w:pPr>
      <w:widowControl w:val="0"/>
      <w:spacing w:line="200" w:lineRule="exact"/>
      <w:jc w:val="right"/>
    </w:pPr>
    <w:rPr>
      <w:rFonts w:ascii="Arial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qFormat/>
    <w:rsid w:val="006D7F22"/>
    <w:pPr>
      <w:numPr>
        <w:ilvl w:val="12"/>
      </w:numPr>
      <w:spacing w:after="60"/>
    </w:pPr>
  </w:style>
  <w:style w:type="paragraph" w:styleId="Verzeichnis4">
    <w:name w:val="toc 4"/>
    <w:basedOn w:val="Verzeichnis3"/>
    <w:uiPriority w:val="39"/>
    <w:pPr>
      <w:ind w:left="1134"/>
    </w:pPr>
  </w:style>
  <w:style w:type="paragraph" w:styleId="Verzeichnis3">
    <w:name w:val="toc 3"/>
    <w:basedOn w:val="Verzeichnis2"/>
    <w:uiPriority w:val="39"/>
    <w:pPr>
      <w:spacing w:before="0"/>
      <w:ind w:left="851"/>
    </w:pPr>
  </w:style>
  <w:style w:type="character" w:customStyle="1" w:styleId="Codetext">
    <w:name w:val="Codetext"/>
    <w:rPr>
      <w:rFonts w:ascii="Courier New" w:hAnsi="Courier New"/>
      <w:b/>
      <w:w w:val="80"/>
      <w:kern w:val="0"/>
      <w:sz w:val="28"/>
    </w:rPr>
  </w:style>
  <w:style w:type="paragraph" w:styleId="Verzeichnis5">
    <w:name w:val="toc 5"/>
    <w:basedOn w:val="Verzeichnis4"/>
    <w:semiHidden/>
    <w:pPr>
      <w:ind w:left="1418"/>
    </w:pPr>
  </w:style>
  <w:style w:type="paragraph" w:customStyle="1" w:styleId="Code">
    <w:name w:val="Code"/>
    <w:pPr>
      <w:widowControl w:val="0"/>
      <w:spacing w:after="120"/>
      <w:ind w:left="1134"/>
    </w:pPr>
    <w:rPr>
      <w:rFonts w:ascii="Courier New" w:hAnsi="Courier New"/>
      <w:b/>
      <w:noProof/>
      <w:w w:val="80"/>
      <w:sz w:val="28"/>
      <w:lang w:val="en-GB" w:eastAsia="en-US"/>
    </w:rPr>
  </w:style>
  <w:style w:type="character" w:styleId="Kommentarzeichen">
    <w:name w:val="annotation reference"/>
    <w:semiHidden/>
    <w:rPr>
      <w:color w:val="FF00FF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paragraph" w:customStyle="1" w:styleId="Edition">
    <w:name w:val="Edition"/>
    <w:basedOn w:val="Ausgabe"/>
    <w:next w:val="Ausgabe"/>
  </w:style>
  <w:style w:type="paragraph" w:customStyle="1" w:styleId="Trennstrich">
    <w:name w:val="Trennstrich"/>
    <w:basedOn w:val="Standard"/>
    <w:rsid w:val="006D7F22"/>
    <w:pPr>
      <w:pBdr>
        <w:bottom w:val="single" w:sz="36" w:space="1" w:color="008000"/>
      </w:pBdr>
      <w:jc w:val="right"/>
    </w:pPr>
  </w:style>
  <w:style w:type="table" w:styleId="Tabellenraster">
    <w:name w:val="Table Grid"/>
    <w:basedOn w:val="NormaleTabelle"/>
    <w:rsid w:val="00D3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E66F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issue.seu.sozvers.at/jira/browse/KFOQSDB-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ssue.seu.sozvers.at/jira/browse/KFOQSDB-96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https://issue.seu.sozvers.at/jira/browse/KFOQSDB-83" TargetMode="External"/><Relationship Id="rId33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issue.seu.sozvers.at/jira/browse/KFOQSDB-98" TargetMode="External"/><Relationship Id="rId29" Type="http://schemas.openxmlformats.org/officeDocument/2006/relationships/hyperlink" Target="https://issue.seu.sozvers.at/jira/browse/KFOQSDB-8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ssue.seu.sozvers.at/jira/browse/KFOQSDB-84" TargetMode="Externa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yperlink" Target="https://issue.seu.sozvers.at/jira/browse/KFOQSDB-96" TargetMode="External"/><Relationship Id="rId23" Type="http://schemas.openxmlformats.org/officeDocument/2006/relationships/hyperlink" Target="https://issue.seu.sozvers.at/jira/browse/KFOQSDB-79" TargetMode="External"/><Relationship Id="rId28" Type="http://schemas.openxmlformats.org/officeDocument/2006/relationships/hyperlink" Target="https://issue.seu.sozvers.at/jira/browse/KFOQSDB-67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ssue.seu.sozvers.at/jira/browse/KFOQSDB-32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ssue.seu.sozvers.at/jira/browse/KFOQSDB-98" TargetMode="External"/><Relationship Id="rId22" Type="http://schemas.openxmlformats.org/officeDocument/2006/relationships/hyperlink" Target="https://issue.seu.sozvers.at/jira/browse/KFOQSDB-80" TargetMode="External"/><Relationship Id="rId27" Type="http://schemas.openxmlformats.org/officeDocument/2006/relationships/hyperlink" Target="https://issue.seu.sozvers.at/jira/browse/KFOQSDB-78" TargetMode="Externa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100732\Downloads\ELK_Vorlagen\RDM10_Fachliche_Releasenotes_Vorlage_001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KOMFOR-567-208</_dlc_DocId>
    <_dlc_DocIdUrl xmlns="e139c20b-6898-4f80-82b6-953fb3207626">
      <Url>https://plattform.sozvers.at/itsv/GmP/RTDM/Public/_layouts/15/DocIdRedir.aspx?ID=KOMFOR-567-208</Url>
      <Description>KOMFOR-567-208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14CA-86BD-417E-B9A2-F1E7ACC6F2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D0F9D0-B40A-4A69-AD9F-65DE70D4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6C0D7-2E5D-4B58-AA8F-6CDADB99139D}">
  <ds:schemaRefs>
    <ds:schemaRef ds:uri="http://purl.org/dc/dcmitype/"/>
    <ds:schemaRef ds:uri="e139c20b-6898-4f80-82b6-953fb320762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9B161B-222A-4499-B64E-BD6A2A4F1A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DC2D4B-994A-491A-A2AB-97BD3D88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RDM10_Fachliche_Releasenotes_Vorlage_0012.dotx</Template>
  <TotalTime>0</TotalTime>
  <Pages>10</Pages>
  <Words>1580</Words>
  <Characters>12466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KFOQSDB Fachliche Releasenotes</vt:lpstr>
    </vt:vector>
  </TitlesOfParts>
  <Manager>Stefan Horvath</Manager>
  <Company>IT-Services der Sozialversicherung</Company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KFOQSDB Fachliche Releasenotes</dc:title>
  <dc:subject>Projektbezeichnung</dc:subject>
  <dc:creator>Ratzinger Manuel</dc:creator>
  <cp:lastModifiedBy>Scherer Wolfgang</cp:lastModifiedBy>
  <cp:revision>4</cp:revision>
  <cp:lastPrinted>2018-02-27T16:40:00Z</cp:lastPrinted>
  <dcterms:created xsi:type="dcterms:W3CDTF">2018-02-27T16:24:00Z</dcterms:created>
  <dcterms:modified xsi:type="dcterms:W3CDTF">2018-02-27T16:40:00Z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Dokumentnummer</vt:lpwstr>
  </property>
  <property fmtid="{D5CDD505-2E9C-101B-9397-08002B2CF9AE}" pid="3" name="ContentTypeId">
    <vt:lpwstr>0x0101007E2366B69057294EA790995545E7EE46</vt:lpwstr>
  </property>
  <property fmtid="{D5CDD505-2E9C-101B-9397-08002B2CF9AE}" pid="4" name="_dlc_DocIdItemGuid">
    <vt:lpwstr>28e1e23c-811b-4690-ae26-3c01a5e7a541</vt:lpwstr>
  </property>
</Properties>
</file>